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2756"/>
        <w:gridCol w:w="3175"/>
      </w:tblGrid>
      <w:tr>
        <w:tc>
          <w:tcPr>
            <w:tcW w:type="dxa" w:w="16158"/>
            <w:gridSpan w:val="2"/>
            <w:shd w:fill="2F6B4F"/>
            <w:tcMar>
              <w:top w:w="80" w:type="dxa"/>
              <w:start w:w="140" w:type="dxa"/>
              <w:bottom w:w="80" w:type="dxa"/>
              <w:end w:w="140" w:type="dxa"/>
            </w:tcMar>
            <w:tcBorders>
              <w:top w:val="single" w:sz="8" w:color="2F6B4F"/>
              <w:left w:val="single" w:sz="8" w:color="2F6B4F"/>
              <w:bottom w:val="single" w:sz="8" w:color="2F6B4F"/>
              <w:right w:val="single" w:sz="8" w:color="2F6B4F"/>
              <w:insideH w:val="single" w:sz="8" w:color="2F6B4F"/>
              <w:insideV w:val="single" w:sz="8" w:color="2F6B4F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36"/>
              </w:rPr>
              <w:t>MADAGASCAR ET HAÏTI : QUAND SE NOURRIR DEVIENT DIFFICILE</w:t>
            </w:r>
          </w:p>
        </w:tc>
      </w:tr>
      <w:tr>
        <w:tc>
          <w:tcPr>
            <w:tcW w:type="dxa" w:w="8079"/>
            <w:shd w:fill="EAF5EE"/>
            <w:tcMar>
              <w:top w:w="55" w:type="dxa"/>
              <w:start w:w="120" w:type="dxa"/>
              <w:bottom w:w="55" w:type="dxa"/>
              <w:end w:w="120" w:type="dxa"/>
            </w:tcMar>
            <w:tcBorders>
              <w:top w:val="single" w:sz="8" w:color="2F6B4F"/>
              <w:left w:val="single" w:sz="8" w:color="2F6B4F"/>
              <w:bottom w:val="single" w:sz="8" w:color="2F6B4F"/>
              <w:right w:val="single" w:sz="8" w:color="2F6B4F"/>
              <w:insideH w:val="single" w:sz="8" w:color="2F6B4F"/>
              <w:insideV w:val="single" w:sz="8" w:color="2F6B4F"/>
            </w:tcBorders>
          </w:tcPr>
          <w:p>
            <w:r>
              <w:rPr>
                <w:rFonts w:ascii="Aptos" w:hAnsi="Aptos"/>
                <w:b/>
                <w:i w:val="0"/>
                <w:color w:val="173B2B"/>
                <w:sz w:val="18"/>
              </w:rPr>
              <w:t>Chapitre 1 — Des façons différentes de se nourrir · Séance 2 · Pourquoi certains habitants ne mangent-ils pas toujours à leur faim ?</w:t>
            </w:r>
          </w:p>
        </w:tc>
        <w:tc>
          <w:tcPr>
            <w:tcW w:type="dxa" w:w="8079"/>
            <w:shd w:fill="EAF5EE"/>
            <w:tcMar>
              <w:top w:w="55" w:type="dxa"/>
              <w:start w:w="120" w:type="dxa"/>
              <w:bottom w:w="55" w:type="dxa"/>
              <w:end w:w="120" w:type="dxa"/>
            </w:tcMar>
            <w:tcBorders>
              <w:top w:val="single" w:sz="8" w:color="2F6B4F"/>
              <w:left w:val="single" w:sz="8" w:color="2F6B4F"/>
              <w:bottom w:val="single" w:sz="8" w:color="2F6B4F"/>
              <w:right w:val="single" w:sz="8" w:color="2F6B4F"/>
              <w:insideH w:val="single" w:sz="8" w:color="2F6B4F"/>
              <w:insideV w:val="single" w:sz="8" w:color="2F6B4F"/>
            </w:tcBorders>
          </w:tcPr>
          <w:p>
            <w:pPr>
              <w:jc w:val="right"/>
            </w:pPr>
            <w:r>
              <w:rPr>
                <w:rFonts w:ascii="Aptos" w:hAnsi="Aptos"/>
                <w:b w:val="0"/>
                <w:i w:val="0"/>
                <w:color w:val="173B2B"/>
                <w:sz w:val="18"/>
              </w:rPr>
              <w:t>Prénom : 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386"/>
        <w:gridCol w:w="5386"/>
        <w:gridCol w:w="5386"/>
      </w:tblGrid>
      <w:tr>
        <w:trPr>
          <w:trHeight w:val="8220" w:hRule="exact"/>
        </w:trPr>
        <w:tc>
          <w:tcPr>
            <w:tcW w:type="dxa" w:w="5102"/>
            <w:vAlign w:val="top"/>
            <w:tcBorders>
              <w:top w:val="single" w:sz="10" w:color="D5DDD8"/>
              <w:left w:val="single" w:sz="10" w:color="D5DDD8"/>
              <w:bottom w:val="single" w:sz="10" w:color="D5DDD8"/>
              <w:right w:val="single" w:sz="10" w:color="D5DDD8"/>
              <w:insideH w:val="single" w:sz="10" w:color="D5DDD8"/>
              <w:insideV w:val="single" w:sz="10" w:color="D5DDD8"/>
            </w:tcBorders>
            <w:tcMar>
              <w:top w:w="80" w:type="dxa"/>
              <w:start w:w="100" w:type="dxa"/>
              <w:bottom w:w="70" w:type="dxa"/>
              <w:end w:w="100" w:type="dxa"/>
            </w:tcMar>
            <w:shd w:fill="FFF8EC"/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D98A2B"/>
                <w:sz w:val="23"/>
              </w:rPr>
              <w:t>DOSSIER 1 — MADAGASCAR</w:t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Document 1A — Replanter après le cyclone Gamane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44000" cy="18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dagascar-cyclone-gamane-wfp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000" cy="18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 w:val="0"/>
                <w:i w:val="0"/>
                <w:color w:val="173B2B"/>
                <w:sz w:val="15"/>
              </w:rPr>
              <w:t>Emerencienne et Arijaona préparent des boutures de vanille pour replanter. Le cyclone a inondé leurs champs de riz et de vanille en mars 2024.</w:t>
            </w:r>
          </w:p>
          <w:p>
            <w:pPr>
              <w:spacing w:before="40" w:after="0"/>
            </w:pPr>
            <w:r>
              <w:rPr>
                <w:rFonts w:ascii="Aptos" w:hAnsi="Aptos"/>
                <w:b w:val="0"/>
                <w:i/>
                <w:color w:val="5F6B67"/>
                <w:sz w:val="13"/>
              </w:rPr>
              <w:t>Source : PAM, 30 décembre 2024, photo WFP/Volana Rarivoson.</w:t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D98A2B"/>
                <w:sz w:val="18"/>
              </w:rPr>
              <w:t>Document 1B — Ce qui a changé</w:t>
            </w:r>
          </w:p>
          <w:p>
            <w:pPr>
              <w:spacing w:after="20" w:line="240" w:lineRule="auto"/>
              <w:ind w:left="198" w:hanging="159"/>
            </w:pPr>
            <w:r>
              <w:rPr>
                <w:rFonts w:ascii="Aptos" w:hAnsi="Aptos"/>
                <w:b w:val="0"/>
                <w:i w:val="0"/>
                <w:color w:val="173B2B"/>
                <w:sz w:val="15"/>
              </w:rPr>
              <w:t>– La famille n'a pas pu vendre de riz pendant trois mois.</w:t>
            </w:r>
          </w:p>
          <w:p>
            <w:pPr>
              <w:spacing w:after="20" w:line="240" w:lineRule="auto"/>
              <w:ind w:left="198" w:hanging="159"/>
            </w:pPr>
            <w:r>
              <w:rPr>
                <w:rFonts w:ascii="Aptos" w:hAnsi="Aptos"/>
                <w:b w:val="0"/>
                <w:i w:val="0"/>
                <w:color w:val="173B2B"/>
                <w:sz w:val="15"/>
              </w:rPr>
              <w:t>– Une tasse de riz est passée d'environ 0,08 $ à 0,21 $.</w:t>
            </w:r>
          </w:p>
          <w:p>
            <w:pPr>
              <w:spacing w:after="20" w:line="240" w:lineRule="auto"/>
              <w:ind w:left="198" w:hanging="159"/>
            </w:pPr>
            <w:r>
              <w:rPr>
                <w:rFonts w:ascii="Aptos" w:hAnsi="Aptos"/>
                <w:b w:val="0"/>
                <w:i w:val="0"/>
                <w:color w:val="173B2B"/>
                <w:sz w:val="15"/>
              </w:rPr>
              <w:t>– Le PAM a distribué riz, légumes secs et huile.</w:t>
            </w:r>
          </w:p>
          <w:p>
            <w:pPr>
              <w:spacing w:before="40" w:after="0"/>
            </w:pPr>
            <w:r>
              <w:rPr>
                <w:rFonts w:ascii="Aptos" w:hAnsi="Aptos"/>
                <w:b w:val="0"/>
                <w:i/>
                <w:color w:val="5F6B67"/>
                <w:sz w:val="13"/>
              </w:rPr>
              <w:t>Source : Texte adapté d'après le PAM, 30 décembre 2024.</w:t>
            </w:r>
          </w:p>
        </w:tc>
        <w:tc>
          <w:tcPr>
            <w:tcW w:type="dxa" w:w="5102"/>
            <w:vAlign w:val="top"/>
            <w:tcBorders>
              <w:top w:val="single" w:sz="10" w:color="D5DDD8"/>
              <w:left w:val="single" w:sz="10" w:color="D5DDD8"/>
              <w:bottom w:val="single" w:sz="10" w:color="D5DDD8"/>
              <w:right w:val="single" w:sz="10" w:color="D5DDD8"/>
              <w:insideH w:val="single" w:sz="10" w:color="D5DDD8"/>
              <w:insideV w:val="single" w:sz="10" w:color="D5DDD8"/>
            </w:tcBorders>
            <w:tcMar>
              <w:top w:w="80" w:type="dxa"/>
              <w:start w:w="100" w:type="dxa"/>
              <w:bottom w:w="70" w:type="dxa"/>
              <w:end w:w="100" w:type="dxa"/>
            </w:tcMar>
            <w:shd w:fill="FFF2F0"/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C83E32"/>
                <w:sz w:val="23"/>
              </w:rPr>
              <w:t>DOSSIER 2 — HAÏTI</w:t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Document 2A — Un repas chaud à l'école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44000" cy="194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iti-repas-scolaire-wfp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19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 w:val="0"/>
                <w:i w:val="0"/>
                <w:color w:val="173B2B"/>
                <w:sz w:val="15"/>
              </w:rPr>
              <w:t>Des élèves de l'école Saint-Raphaël reçoivent un repas chaud fourni par le PAM.</w:t>
            </w:r>
          </w:p>
          <w:p>
            <w:pPr>
              <w:spacing w:before="40" w:after="0"/>
            </w:pPr>
            <w:r>
              <w:rPr>
                <w:rFonts w:ascii="Aptos" w:hAnsi="Aptos"/>
                <w:b w:val="0"/>
                <w:i/>
                <w:color w:val="5F6B67"/>
                <w:sz w:val="13"/>
              </w:rPr>
              <w:t>Source : PAM Haïti, photo WFP/Antoine Vallas.</w:t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C83E32"/>
                <w:sz w:val="18"/>
              </w:rPr>
              <w:t>Document 2B — Acheter et vendre</w:t>
            </w:r>
          </w:p>
          <w:p>
            <w:pPr>
              <w:spacing w:after="20" w:line="240" w:lineRule="auto"/>
              <w:ind w:left="198" w:hanging="159"/>
            </w:pPr>
            <w:r>
              <w:rPr>
                <w:rFonts w:ascii="Aptos" w:hAnsi="Aptos"/>
                <w:b w:val="0"/>
                <w:i w:val="0"/>
                <w:color w:val="173B2B"/>
                <w:sz w:val="15"/>
              </w:rPr>
              <w:t>– Les prix alimentaires importants sont de 30 à 77 % plus élevés que la moyenne régionale.</w:t>
            </w:r>
          </w:p>
          <w:p>
            <w:pPr>
              <w:spacing w:after="20" w:line="240" w:lineRule="auto"/>
              <w:ind w:left="198" w:hanging="159"/>
            </w:pPr>
            <w:r>
              <w:rPr>
                <w:rFonts w:ascii="Aptos" w:hAnsi="Aptos"/>
                <w:b w:val="0"/>
                <w:i w:val="0"/>
                <w:color w:val="173B2B"/>
                <w:sz w:val="15"/>
              </w:rPr>
              <w:t>– Des routes bloquées empêchent parfois les agriculteurs de vendre sur les marchés.</w:t>
            </w:r>
          </w:p>
          <w:p>
            <w:pPr>
              <w:spacing w:after="20" w:line="240" w:lineRule="auto"/>
              <w:ind w:left="198" w:hanging="159"/>
            </w:pPr>
            <w:r>
              <w:rPr>
                <w:rFonts w:ascii="Aptos" w:hAnsi="Aptos"/>
                <w:b w:val="0"/>
                <w:i w:val="0"/>
                <w:color w:val="173B2B"/>
                <w:sz w:val="15"/>
              </w:rPr>
              <w:t>– Les repas scolaires aident les enfants ; 70 % sont préparés avec des aliments achetés dans le pays.</w:t>
            </w:r>
          </w:p>
          <w:p>
            <w:pPr>
              <w:spacing w:before="40" w:after="0"/>
            </w:pPr>
            <w:r>
              <w:rPr>
                <w:rFonts w:ascii="Aptos" w:hAnsi="Aptos"/>
                <w:b w:val="0"/>
                <w:i/>
                <w:color w:val="5F6B67"/>
                <w:sz w:val="13"/>
              </w:rPr>
              <w:t>Source : Texte adapté d'après le PAM Haïti, août 2026.</w:t>
            </w:r>
          </w:p>
        </w:tc>
        <w:tc>
          <w:tcPr>
            <w:tcW w:type="dxa" w:w="5726"/>
            <w:vAlign w:val="top"/>
            <w:tcBorders>
              <w:top w:val="single" w:sz="10" w:color="D5DDD8"/>
              <w:left w:val="single" w:sz="10" w:color="D5DDD8"/>
              <w:bottom w:val="single" w:sz="10" w:color="D5DDD8"/>
              <w:right w:val="single" w:sz="10" w:color="D5DDD8"/>
              <w:insideH w:val="single" w:sz="10" w:color="D5DDD8"/>
              <w:insideV w:val="single" w:sz="10" w:color="D5DDD8"/>
            </w:tcBorders>
            <w:tcMar>
              <w:top w:w="8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2F6B4F"/>
                <w:sz w:val="24"/>
              </w:rPr>
              <w:t>QUESTIONS</w:t>
            </w:r>
          </w:p>
          <w:p>
            <w:pPr>
              <w:spacing w:before="40" w:after="20" w:line="240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1. Document 1A. Que préparent Emerencienne et Arijaona ? Pourquoi ?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before="40" w:after="20" w:line="240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2. Document 1B. Relève deux conséquences du cyclone qui rendent l'accès à la nourriture plus difficile.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before="40" w:after="20" w:line="240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3. Document 2A. Quelle forme d'aide est visible sur la photographie ?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before="40" w:after="20" w:line="240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4. Document 2B. Relève deux obstacles qui empêchent d'acheter ou de vendre facilement de la nourriture.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5. Classe puis colle les étiquettes dans le tableau.</w:t>
            </w: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1431"/>
              <w:gridCol w:w="1431"/>
              <w:gridCol w:w="1431"/>
              <w:gridCol w:w="1431"/>
            </w:tblGrid>
            <w:tr>
              <w:tc>
                <w:tcPr>
                  <w:tcW w:type="dxa" w:w="1431"/>
                  <w:shd w:fill="EAF5EE"/>
                  <w:tcBorders>
                    <w:top w:val="single" w:sz="8" w:color="2F6B4F"/>
                    <w:left w:val="single" w:sz="8" w:color="2F6B4F"/>
                    <w:bottom w:val="single" w:sz="8" w:color="2F6B4F"/>
                    <w:right w:val="single" w:sz="8" w:color="2F6B4F"/>
                    <w:insideH w:val="single" w:sz="8" w:color="2F6B4F"/>
                    <w:insideV w:val="single" w:sz="8" w:color="2F6B4F"/>
                  </w:tcBorders>
                </w:tcPr>
                <w:p>
                  <w:pPr>
                    <w:spacing w:before="0" w:after="40" w:line="252" w:lineRule="auto"/>
                    <w:jc w:val="center"/>
                  </w:pPr>
                  <w:r>
                    <w:rPr>
                      <w:rFonts w:ascii="Aptos" w:hAnsi="Aptos"/>
                      <w:b/>
                      <w:i w:val="0"/>
                      <w:color w:val="2F6B4F"/>
                      <w:sz w:val="13"/>
                    </w:rPr>
                    <w:t>PRODUIRE</w:t>
                  </w:r>
                </w:p>
              </w:tc>
              <w:tc>
                <w:tcPr>
                  <w:tcW w:type="dxa" w:w="1431"/>
                  <w:shd w:fill="EAF5EE"/>
                  <w:tcBorders>
                    <w:top w:val="single" w:sz="8" w:color="2F6B4F"/>
                    <w:left w:val="single" w:sz="8" w:color="2F6B4F"/>
                    <w:bottom w:val="single" w:sz="8" w:color="2F6B4F"/>
                    <w:right w:val="single" w:sz="8" w:color="2F6B4F"/>
                    <w:insideH w:val="single" w:sz="8" w:color="2F6B4F"/>
                    <w:insideV w:val="single" w:sz="8" w:color="2F6B4F"/>
                  </w:tcBorders>
                </w:tcPr>
                <w:p>
                  <w:pPr>
                    <w:spacing w:before="0" w:after="40" w:line="252" w:lineRule="auto"/>
                    <w:jc w:val="center"/>
                  </w:pPr>
                  <w:r>
                    <w:rPr>
                      <w:rFonts w:ascii="Aptos" w:hAnsi="Aptos"/>
                      <w:b/>
                      <w:i w:val="0"/>
                      <w:color w:val="2F6B4F"/>
                      <w:sz w:val="13"/>
                    </w:rPr>
                    <w:t>TRANSPORTER</w:t>
                    <w:br/>
                    <w:t>OU VENDRE</w:t>
                  </w:r>
                </w:p>
              </w:tc>
              <w:tc>
                <w:tcPr>
                  <w:tcW w:type="dxa" w:w="1431"/>
                  <w:shd w:fill="EAF5EE"/>
                  <w:tcBorders>
                    <w:top w:val="single" w:sz="8" w:color="2F6B4F"/>
                    <w:left w:val="single" w:sz="8" w:color="2F6B4F"/>
                    <w:bottom w:val="single" w:sz="8" w:color="2F6B4F"/>
                    <w:right w:val="single" w:sz="8" w:color="2F6B4F"/>
                    <w:insideH w:val="single" w:sz="8" w:color="2F6B4F"/>
                    <w:insideV w:val="single" w:sz="8" w:color="2F6B4F"/>
                  </w:tcBorders>
                </w:tcPr>
                <w:p>
                  <w:pPr>
                    <w:spacing w:before="0" w:after="40" w:line="252" w:lineRule="auto"/>
                    <w:jc w:val="center"/>
                  </w:pPr>
                  <w:r>
                    <w:rPr>
                      <w:rFonts w:ascii="Aptos" w:hAnsi="Aptos"/>
                      <w:b/>
                      <w:i w:val="0"/>
                      <w:color w:val="2F6B4F"/>
                      <w:sz w:val="13"/>
                    </w:rPr>
                    <w:t>ACHETER</w:t>
                  </w:r>
                </w:p>
              </w:tc>
              <w:tc>
                <w:tcPr>
                  <w:tcW w:type="dxa" w:w="1431"/>
                  <w:shd w:fill="EAF5EE"/>
                  <w:tcBorders>
                    <w:top w:val="single" w:sz="8" w:color="2F6B4F"/>
                    <w:left w:val="single" w:sz="8" w:color="2F6B4F"/>
                    <w:bottom w:val="single" w:sz="8" w:color="2F6B4F"/>
                    <w:right w:val="single" w:sz="8" w:color="2F6B4F"/>
                    <w:insideH w:val="single" w:sz="8" w:color="2F6B4F"/>
                    <w:insideV w:val="single" w:sz="8" w:color="2F6B4F"/>
                  </w:tcBorders>
                </w:tcPr>
                <w:p>
                  <w:pPr>
                    <w:spacing w:before="0" w:after="40" w:line="252" w:lineRule="auto"/>
                    <w:jc w:val="center"/>
                  </w:pPr>
                  <w:r>
                    <w:rPr>
                      <w:rFonts w:ascii="Aptos" w:hAnsi="Aptos"/>
                      <w:b/>
                      <w:i w:val="0"/>
                      <w:color w:val="2F6B4F"/>
                      <w:sz w:val="13"/>
                    </w:rPr>
                    <w:t>AIDER</w:t>
                  </w:r>
                </w:p>
              </w:tc>
            </w:tr>
            <w:tr>
              <w:tc>
                <w:tcPr>
                  <w:tcW w:type="dxa" w:w="1431"/>
                  <w:tcBorders>
                    <w:top w:val="single" w:sz="8" w:color="2F6B4F"/>
                    <w:left w:val="single" w:sz="8" w:color="2F6B4F"/>
                    <w:bottom w:val="single" w:sz="8" w:color="2F6B4F"/>
                    <w:right w:val="single" w:sz="8" w:color="2F6B4F"/>
                    <w:insideH w:val="single" w:sz="8" w:color="2F6B4F"/>
                    <w:insideV w:val="single" w:sz="8" w:color="2F6B4F"/>
                  </w:tcBorders>
                </w:tcPr>
                <w:p>
                  <w:pPr>
                    <w:spacing w:before="0" w:after="40" w:line="252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173B2B"/>
                      <w:sz w:val="13"/>
                    </w:rPr>
                  </w:r>
                </w:p>
              </w:tc>
              <w:tc>
                <w:tcPr>
                  <w:tcW w:type="dxa" w:w="1431"/>
                  <w:tcBorders>
                    <w:top w:val="single" w:sz="8" w:color="2F6B4F"/>
                    <w:left w:val="single" w:sz="8" w:color="2F6B4F"/>
                    <w:bottom w:val="single" w:sz="8" w:color="2F6B4F"/>
                    <w:right w:val="single" w:sz="8" w:color="2F6B4F"/>
                    <w:insideH w:val="single" w:sz="8" w:color="2F6B4F"/>
                    <w:insideV w:val="single" w:sz="8" w:color="2F6B4F"/>
                  </w:tcBorders>
                </w:tcPr>
                <w:p>
                  <w:pPr>
                    <w:spacing w:before="0" w:after="40" w:line="252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173B2B"/>
                      <w:sz w:val="13"/>
                    </w:rPr>
                  </w:r>
                </w:p>
              </w:tc>
              <w:tc>
                <w:tcPr>
                  <w:tcW w:type="dxa" w:w="1431"/>
                  <w:tcBorders>
                    <w:top w:val="single" w:sz="8" w:color="2F6B4F"/>
                    <w:left w:val="single" w:sz="8" w:color="2F6B4F"/>
                    <w:bottom w:val="single" w:sz="8" w:color="2F6B4F"/>
                    <w:right w:val="single" w:sz="8" w:color="2F6B4F"/>
                    <w:insideH w:val="single" w:sz="8" w:color="2F6B4F"/>
                    <w:insideV w:val="single" w:sz="8" w:color="2F6B4F"/>
                  </w:tcBorders>
                </w:tcPr>
                <w:p>
                  <w:pPr>
                    <w:spacing w:before="0" w:after="40" w:line="252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173B2B"/>
                      <w:sz w:val="13"/>
                    </w:rPr>
                  </w:r>
                </w:p>
              </w:tc>
              <w:tc>
                <w:tcPr>
                  <w:tcW w:type="dxa" w:w="1431"/>
                  <w:tcBorders>
                    <w:top w:val="single" w:sz="8" w:color="2F6B4F"/>
                    <w:left w:val="single" w:sz="8" w:color="2F6B4F"/>
                    <w:bottom w:val="single" w:sz="8" w:color="2F6B4F"/>
                    <w:right w:val="single" w:sz="8" w:color="2F6B4F"/>
                    <w:insideH w:val="single" w:sz="8" w:color="2F6B4F"/>
                    <w:insideV w:val="single" w:sz="8" w:color="2F6B4F"/>
                  </w:tcBorders>
                </w:tcPr>
                <w:p>
                  <w:pPr>
                    <w:spacing w:before="0" w:after="40" w:line="252" w:lineRule="auto"/>
                  </w:pPr>
                  <w:r>
                    <w:rPr>
                      <w:rFonts w:ascii="Aptos" w:hAnsi="Aptos"/>
                      <w:b w:val="0"/>
                      <w:i w:val="0"/>
                      <w:color w:val="173B2B"/>
                      <w:sz w:val="13"/>
                    </w:rPr>
                  </w:r>
                </w:p>
              </w:tc>
            </w:tr>
          </w:tbl>
          <w:p/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5F6B67"/>
                <w:sz w:val="14"/>
              </w:rPr>
              <w:t>ÉTIQUETTES À DÉCOUPER</w:t>
            </w: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1909"/>
              <w:gridCol w:w="1909"/>
              <w:gridCol w:w="1909"/>
            </w:tblGrid>
            <w:tr>
              <w:tc>
                <w:tcPr>
                  <w:tcW w:type="dxa" w:w="1909"/>
                  <w:tcBorders>
                    <w:top w:val="single" w:sz="8" w:color="D98A2B"/>
                    <w:left w:val="single" w:sz="8" w:color="D98A2B"/>
                    <w:bottom w:val="single" w:sz="8" w:color="D98A2B"/>
                    <w:right w:val="single" w:sz="8" w:color="D98A2B"/>
                    <w:insideH w:val="single" w:sz="8" w:color="D98A2B"/>
                    <w:insideV w:val="single" w:sz="8" w:color="D98A2B"/>
                  </w:tcBorders>
                </w:tcPr>
                <w:p>
                  <w:pPr>
                    <w:spacing w:before="0" w:after="40" w:line="252" w:lineRule="auto"/>
                    <w:jc w:val="center"/>
                  </w:pPr>
                  <w:r>
                    <w:rPr>
                      <w:rFonts w:ascii="Aptos" w:hAnsi="Aptos"/>
                      <w:b/>
                      <w:i w:val="0"/>
                      <w:color w:val="173B2B"/>
                      <w:sz w:val="13"/>
                    </w:rPr>
                    <w:t>champs inondés</w:t>
                  </w:r>
                </w:p>
              </w:tc>
              <w:tc>
                <w:tcPr>
                  <w:tcW w:type="dxa" w:w="1909"/>
                  <w:tcBorders>
                    <w:top w:val="single" w:sz="8" w:color="D98A2B"/>
                    <w:left w:val="single" w:sz="8" w:color="D98A2B"/>
                    <w:bottom w:val="single" w:sz="8" w:color="D98A2B"/>
                    <w:right w:val="single" w:sz="8" w:color="D98A2B"/>
                    <w:insideH w:val="single" w:sz="8" w:color="D98A2B"/>
                    <w:insideV w:val="single" w:sz="8" w:color="D98A2B"/>
                  </w:tcBorders>
                </w:tcPr>
                <w:p>
                  <w:pPr>
                    <w:spacing w:before="0" w:after="40" w:line="252" w:lineRule="auto"/>
                    <w:jc w:val="center"/>
                  </w:pPr>
                  <w:r>
                    <w:rPr>
                      <w:rFonts w:ascii="Aptos" w:hAnsi="Aptos"/>
                      <w:b/>
                      <w:i w:val="0"/>
                      <w:color w:val="173B2B"/>
                      <w:sz w:val="13"/>
                    </w:rPr>
                    <w:t>vente de riz arrêtée</w:t>
                  </w:r>
                </w:p>
              </w:tc>
              <w:tc>
                <w:tcPr>
                  <w:tcW w:type="dxa" w:w="1909"/>
                  <w:tcBorders>
                    <w:top w:val="single" w:sz="8" w:color="D98A2B"/>
                    <w:left w:val="single" w:sz="8" w:color="D98A2B"/>
                    <w:bottom w:val="single" w:sz="8" w:color="D98A2B"/>
                    <w:right w:val="single" w:sz="8" w:color="D98A2B"/>
                    <w:insideH w:val="single" w:sz="8" w:color="D98A2B"/>
                    <w:insideV w:val="single" w:sz="8" w:color="D98A2B"/>
                  </w:tcBorders>
                </w:tcPr>
                <w:p>
                  <w:pPr>
                    <w:spacing w:before="0" w:after="40" w:line="252" w:lineRule="auto"/>
                    <w:jc w:val="center"/>
                  </w:pPr>
                  <w:r>
                    <w:rPr>
                      <w:rFonts w:ascii="Aptos" w:hAnsi="Aptos"/>
                      <w:b/>
                      <w:i w:val="0"/>
                      <w:color w:val="173B2B"/>
                      <w:sz w:val="13"/>
                    </w:rPr>
                    <w:t>riz plus cher</w:t>
                  </w:r>
                </w:p>
              </w:tc>
            </w:tr>
            <w:tr>
              <w:tc>
                <w:tcPr>
                  <w:tcW w:type="dxa" w:w="1909"/>
                  <w:tcBorders>
                    <w:top w:val="single" w:sz="8" w:color="C83E32"/>
                    <w:left w:val="single" w:sz="8" w:color="C83E32"/>
                    <w:bottom w:val="single" w:sz="8" w:color="C83E32"/>
                    <w:right w:val="single" w:sz="8" w:color="C83E32"/>
                    <w:insideH w:val="single" w:sz="8" w:color="C83E32"/>
                    <w:insideV w:val="single" w:sz="8" w:color="C83E32"/>
                  </w:tcBorders>
                </w:tcPr>
                <w:p>
                  <w:pPr>
                    <w:spacing w:before="0" w:after="40" w:line="252" w:lineRule="auto"/>
                    <w:jc w:val="center"/>
                  </w:pPr>
                  <w:r>
                    <w:rPr>
                      <w:rFonts w:ascii="Aptos" w:hAnsi="Aptos"/>
                      <w:b/>
                      <w:i w:val="0"/>
                      <w:color w:val="173B2B"/>
                      <w:sz w:val="13"/>
                    </w:rPr>
                    <w:t>routes bloquées</w:t>
                  </w:r>
                </w:p>
              </w:tc>
              <w:tc>
                <w:tcPr>
                  <w:tcW w:type="dxa" w:w="1909"/>
                  <w:tcBorders>
                    <w:top w:val="single" w:sz="8" w:color="C83E32"/>
                    <w:left w:val="single" w:sz="8" w:color="C83E32"/>
                    <w:bottom w:val="single" w:sz="8" w:color="C83E32"/>
                    <w:right w:val="single" w:sz="8" w:color="C83E32"/>
                    <w:insideH w:val="single" w:sz="8" w:color="C83E32"/>
                    <w:insideV w:val="single" w:sz="8" w:color="C83E32"/>
                  </w:tcBorders>
                </w:tcPr>
                <w:p>
                  <w:pPr>
                    <w:spacing w:before="0" w:after="40" w:line="252" w:lineRule="auto"/>
                    <w:jc w:val="center"/>
                  </w:pPr>
                  <w:r>
                    <w:rPr>
                      <w:rFonts w:ascii="Aptos" w:hAnsi="Aptos"/>
                      <w:b/>
                      <w:i w:val="0"/>
                      <w:color w:val="173B2B"/>
                      <w:sz w:val="13"/>
                    </w:rPr>
                    <w:t>distribution de nourriture</w:t>
                  </w:r>
                </w:p>
              </w:tc>
              <w:tc>
                <w:tcPr>
                  <w:tcW w:type="dxa" w:w="1909"/>
                  <w:tcBorders>
                    <w:top w:val="single" w:sz="8" w:color="C83E32"/>
                    <w:left w:val="single" w:sz="8" w:color="C83E32"/>
                    <w:bottom w:val="single" w:sz="8" w:color="C83E32"/>
                    <w:right w:val="single" w:sz="8" w:color="C83E32"/>
                    <w:insideH w:val="single" w:sz="8" w:color="C83E32"/>
                    <w:insideV w:val="single" w:sz="8" w:color="C83E32"/>
                  </w:tcBorders>
                </w:tcPr>
                <w:p>
                  <w:pPr>
                    <w:spacing w:before="0" w:after="40" w:line="252" w:lineRule="auto"/>
                    <w:jc w:val="center"/>
                  </w:pPr>
                  <w:r>
                    <w:rPr>
                      <w:rFonts w:ascii="Aptos" w:hAnsi="Aptos"/>
                      <w:b/>
                      <w:i w:val="0"/>
                      <w:color w:val="173B2B"/>
                      <w:sz w:val="13"/>
                    </w:rPr>
                    <w:t>repas scolaires</w:t>
                  </w:r>
                </w:p>
              </w:tc>
            </w:tr>
          </w:tbl>
          <w:p/>
        </w:tc>
      </w:tr>
    </w:tbl>
    <w:sectPr w:rsidR="00FC693F" w:rsidRPr="0006063C" w:rsidSect="00034616">
      <w:pgSz w:w="16838" w:h="11906" w:orient="landscape"/>
      <w:pgMar w:top="312" w:right="340" w:bottom="312" w:left="340" w:header="113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173B2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