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8136"/>
        <w:gridCol w:w="8136"/>
      </w:tblGrid>
      <w:tr>
        <w:tc>
          <w:tcPr>
            <w:tcW w:type="dxa" w:w="16272"/>
            <w:gridSpan w:val="2"/>
            <w:shd w:fill="2F6B4F"/>
            <w:tcBorders>
              <w:top w:val="single" w:sz="8" w:color="2F6B4F"/>
              <w:left w:val="single" w:sz="8" w:color="2F6B4F"/>
              <w:bottom w:val="single" w:sz="8" w:color="2F6B4F"/>
              <w:right w:val="single" w:sz="8" w:color="2F6B4F"/>
              <w:insideH w:val="single" w:sz="8" w:color="2F6B4F"/>
              <w:insideV w:val="single" w:sz="8" w:color="2F6B4F"/>
              <w:top w:val="single" w:sz="8" w:color="2F6B4F"/>
              <w:left w:val="single" w:sz="8" w:color="2F6B4F"/>
              <w:bottom w:val="single" w:sz="8" w:color="2F6B4F"/>
              <w:right w:val="single" w:sz="8" w:color="2F6B4F"/>
              <w:insideH w:val="single" w:sz="8" w:color="2F6B4F"/>
              <w:insideV w:val="single" w:sz="8" w:color="2F6B4F"/>
            </w:tcBorders>
            <w:tcMar>
              <w:top w:w="55" w:type="dxa"/>
              <w:start w:w="70" w:type="dxa"/>
              <w:bottom w:w="45" w:type="dxa"/>
              <w:end w:w="70" w:type="dxa"/>
            </w:tcMar>
            <w:tcMar>
              <w:top w:w="55" w:type="dxa"/>
              <w:start w:w="70" w:type="dxa"/>
              <w:bottom w:w="45" w:type="dxa"/>
              <w:end w:w="70" w:type="dxa"/>
            </w:tcMar>
          </w:tcPr>
          <w:p>
            <w:pPr>
              <w:spacing w:after="20" w:line="240" w:lineRule="auto"/>
            </w:pPr>
            <w:r>
              <w:rPr>
                <w:rFonts w:ascii="Aptos" w:hAnsi="Aptos"/>
                <w:b/>
                <w:i w:val="0"/>
                <w:color w:val="FFFFFF"/>
                <w:sz w:val="31"/>
              </w:rPr>
              <w:t>QUATRE PAYS : COMPARER LES FAÇONS DE SE NOURRIR</w:t>
            </w:r>
          </w:p>
        </w:tc>
      </w:tr>
      <w:tr>
        <w:tc>
          <w:tcPr>
            <w:tcW w:type="dxa" w:w="8136"/>
            <w:shd w:fill="EAF5EE"/>
            <w:tcBorders>
              <w:top w:val="single" w:sz="8" w:color="2F6B4F"/>
              <w:left w:val="single" w:sz="8" w:color="2F6B4F"/>
              <w:bottom w:val="single" w:sz="8" w:color="2F6B4F"/>
              <w:right w:val="single" w:sz="8" w:color="2F6B4F"/>
              <w:insideH w:val="single" w:sz="8" w:color="2F6B4F"/>
              <w:insideV w:val="single" w:sz="8" w:color="2F6B4F"/>
            </w:tcBorders>
            <w:tcMar>
              <w:top w:w="55" w:type="dxa"/>
              <w:start w:w="70" w:type="dxa"/>
              <w:bottom w:w="45" w:type="dxa"/>
              <w:end w:w="70" w:type="dxa"/>
            </w:tcMar>
          </w:tcPr>
          <w:p>
            <w:pPr>
              <w:spacing w:after="20" w:line="240" w:lineRule="auto"/>
            </w:pPr>
            <w:r>
              <w:rPr>
                <w:rFonts w:ascii="Aptos" w:hAnsi="Aptos"/>
                <w:b/>
                <w:i w:val="0"/>
                <w:color w:val="173B2B"/>
                <w:sz w:val="16"/>
              </w:rPr>
              <w:t>Chapitre 1 — Des façons différentes de se nourrir · Séance 3</w:t>
            </w:r>
          </w:p>
        </w:tc>
        <w:tc>
          <w:tcPr>
            <w:tcW w:type="dxa" w:w="8136"/>
            <w:shd w:fill="EAF5EE"/>
            <w:tcBorders>
              <w:top w:val="single" w:sz="8" w:color="2F6B4F"/>
              <w:left w:val="single" w:sz="8" w:color="2F6B4F"/>
              <w:bottom w:val="single" w:sz="8" w:color="2F6B4F"/>
              <w:right w:val="single" w:sz="8" w:color="2F6B4F"/>
              <w:insideH w:val="single" w:sz="8" w:color="2F6B4F"/>
              <w:insideV w:val="single" w:sz="8" w:color="2F6B4F"/>
            </w:tcBorders>
            <w:tcMar>
              <w:top w:w="55" w:type="dxa"/>
              <w:start w:w="70" w:type="dxa"/>
              <w:bottom w:w="45" w:type="dxa"/>
              <w:end w:w="70" w:type="dxa"/>
            </w:tcMar>
          </w:tcPr>
          <w:p>
            <w:pPr>
              <w:spacing w:after="20" w:line="240" w:lineRule="auto"/>
              <w:jc w:val="right"/>
            </w:pPr>
            <w:r>
              <w:rPr>
                <w:rFonts w:ascii="Aptos" w:hAnsi="Aptos"/>
                <w:b w:val="0"/>
                <w:i w:val="0"/>
                <w:color w:val="173B2B"/>
                <w:sz w:val="16"/>
              </w:rPr>
              <w:t>Prénom : __________________</w:t>
            </w:r>
          </w:p>
        </w:tc>
      </w:tr>
    </w:tbl>
    <w:tbl>
      <w:tblPr>
        <w:tblW w:type="auto" w:w="0"/>
        <w:tblLayout w:type="fixed"/>
        <w:tblLook w:firstColumn="1" w:firstRow="1" w:lastColumn="0" w:lastRow="0" w:noHBand="0" w:noVBand="1" w:val="04A0"/>
      </w:tblPr>
      <w:tblGrid>
        <w:gridCol w:w="10261"/>
        <w:gridCol w:w="5839"/>
      </w:tblGrid>
      <w:tr>
        <w:tc>
          <w:tcPr>
            <w:tcW w:type="dxa" w:w="10261"/>
            <w:vAlign w:val="top"/>
            <w:tcBorders>
              <w:top w:val="single" w:sz="0" w:color="FFFFFF"/>
              <w:left w:val="single" w:sz="0" w:color="FFFFFF"/>
              <w:bottom w:val="single" w:sz="0" w:color="FFFFFF"/>
              <w:right w:val="single" w:sz="0" w:color="FFFFFF"/>
              <w:insideH w:val="single" w:sz="0" w:color="FFFFFF"/>
              <w:insideV w:val="single" w:sz="0" w:color="FFFFFF"/>
            </w:tcBorders>
            <w:tcMar>
              <w:top w:w="35" w:type="dxa"/>
              <w:start w:w="15" w:type="dxa"/>
              <w:bottom w:w="20" w:type="dxa"/>
              <w:end w:w="50" w:type="dxa"/>
            </w:tcMar>
          </w:tcPr>
          <w:p>
            <w:pPr>
              <w:spacing w:after="20" w:line="240" w:lineRule="auto"/>
            </w:pPr>
            <w:r>
              <w:rPr>
                <w:rFonts w:ascii="Aptos" w:hAnsi="Aptos"/>
                <w:b/>
                <w:i w:val="0"/>
                <w:color w:val="2F6B4F"/>
                <w:sz w:val="19"/>
              </w:rPr>
              <w:t>DOSSIER DOCUMENTAIRE — QUATRE SITUATIONS PRÉCISES</w:t>
            </w:r>
          </w:p>
          <w:tbl>
            <w:tblPr>
              <w:tblW w:type="auto" w:w="0"/>
              <w:tblLayout w:type="fixed"/>
              <w:tblLook w:firstColumn="1" w:firstRow="1" w:lastColumn="0" w:lastRow="0" w:noHBand="0" w:noVBand="1" w:val="04A0"/>
            </w:tblPr>
            <w:tblGrid>
              <w:gridCol w:w="5130"/>
              <w:gridCol w:w="5130"/>
            </w:tblGrid>
            <w:tr>
              <w:tc>
                <w:tcPr>
                  <w:tcW w:type="dxa" w:w="2268"/>
                  <w:vAlign w:val="top"/>
                  <w:tcBorders>
                    <w:top w:val="single" w:sz="8" w:color="D5DDD8"/>
                    <w:left w:val="single" w:sz="8" w:color="D5DDD8"/>
                    <w:bottom w:val="single" w:sz="8" w:color="D5DDD8"/>
                    <w:right w:val="single" w:sz="8" w:color="D5DDD8"/>
                    <w:insideH w:val="single" w:sz="8" w:color="D5DDD8"/>
                    <w:insideV w:val="single" w:sz="8" w:color="D5DDD8"/>
                  </w:tcBorders>
                  <w:tcMar>
                    <w:top w:w="35" w:type="dxa"/>
                    <w:start w:w="45" w:type="dxa"/>
                    <w:bottom w:w="30" w:type="dxa"/>
                    <w:end w:w="45" w:type="dxa"/>
                  </w:tcMar>
                  <w:shd w:fill="FFFFFF"/>
                </w:tcPr>
                <w:p/>
                <w:p>
                  <w:pPr>
                    <w:spacing w:after="20"/>
                    <w:jc w:val="center"/>
                  </w:pPr>
                  <w:r>
                    <w:drawing>
                      <wp:inline xmlns:a="http://schemas.openxmlformats.org/drawingml/2006/main" xmlns:pic="http://schemas.openxmlformats.org/drawingml/2006/picture">
                        <wp:extent cx="1116000" cy="789133"/>
                        <wp:docPr id="1" name="Picture 1"/>
                        <wp:cNvGraphicFramePr>
                          <a:graphicFrameLocks noChangeAspect="1"/>
                        </wp:cNvGraphicFramePr>
                        <a:graphic>
                          <a:graphicData uri="http://schemas.openxmlformats.org/drawingml/2006/picture">
                            <pic:pic>
                              <pic:nvPicPr>
                                <pic:cNvPr id="0" name="paris-menu-semaine-26.png"/>
                                <pic:cNvPicPr/>
                              </pic:nvPicPr>
                              <pic:blipFill>
                                <a:blip r:embed="rId9"/>
                                <a:stretch>
                                  <a:fillRect/>
                                </a:stretch>
                              </pic:blipFill>
                              <pic:spPr>
                                <a:xfrm>
                                  <a:off x="0" y="0"/>
                                  <a:ext cx="1116000" cy="789133"/>
                                </a:xfrm>
                                <a:prstGeom prst="rect"/>
                              </pic:spPr>
                            </pic:pic>
                          </a:graphicData>
                        </a:graphic>
                      </wp:inline>
                    </w:drawing>
                  </w:r>
                </w:p>
              </w:tc>
              <w:tc>
                <w:tcPr>
                  <w:tcW w:type="dxa" w:w="7824"/>
                  <w:vAlign w:val="top"/>
                  <w:tcBorders>
                    <w:top w:val="single" w:sz="8" w:color="D5DDD8"/>
                    <w:left w:val="single" w:sz="8" w:color="D5DDD8"/>
                    <w:bottom w:val="single" w:sz="8" w:color="D5DDD8"/>
                    <w:right w:val="single" w:sz="8" w:color="D5DDD8"/>
                    <w:insideH w:val="single" w:sz="8" w:color="D5DDD8"/>
                    <w:insideV w:val="single" w:sz="8" w:color="D5DDD8"/>
                  </w:tcBorders>
                  <w:tcMar>
                    <w:top w:w="35" w:type="dxa"/>
                    <w:start w:w="45" w:type="dxa"/>
                    <w:bottom w:w="30" w:type="dxa"/>
                    <w:end w:w="45" w:type="dxa"/>
                  </w:tcMar>
                  <w:shd w:fill="FFFFFF"/>
                </w:tcPr>
                <w:p>
                  <w:pPr>
                    <w:spacing w:after="20" w:line="240" w:lineRule="auto"/>
                  </w:pPr>
                  <w:r>
                    <w:rPr>
                      <w:rFonts w:ascii="Aptos" w:hAnsi="Aptos"/>
                      <w:b/>
                      <w:i w:val="0"/>
                      <w:color w:val="2F6B4F"/>
                      <w:sz w:val="16"/>
                    </w:rPr>
                    <w:t>A — FRANCE · Paris</w:t>
                  </w:r>
                </w:p>
                <w:p>
                  <w:pPr>
                    <w:spacing w:after="20" w:line="240" w:lineRule="auto"/>
                  </w:pPr>
                  <w:r>
                    <w:rPr>
                      <w:rFonts w:ascii="Aptos" w:hAnsi="Aptos"/>
                      <w:b/>
                      <w:i w:val="0"/>
                      <w:color w:val="C83E32"/>
                      <w:sz w:val="12"/>
                    </w:rPr>
                    <w:t>Repas scolaire du lundi 22 juin 2026</w:t>
                  </w:r>
                </w:p>
                <w:p>
                  <w:pPr>
                    <w:spacing w:after="20" w:line="240" w:lineRule="auto"/>
                  </w:pPr>
                  <w:r>
                    <w:rPr>
                      <w:rFonts w:ascii="Aptos" w:hAnsi="Aptos"/>
                      <w:b w:val="0"/>
                      <w:i w:val="0"/>
                      <w:color w:val="173B2B"/>
                      <w:sz w:val="13"/>
                    </w:rPr>
                    <w:t>Menu : sauté de dinde au jus ; haricots verts et pommes de terre ; gouda ; pastèque ; pain.</w:t>
                  </w:r>
                </w:p>
                <w:p>
                  <w:pPr>
                    <w:spacing w:after="0" w:line="240" w:lineRule="auto"/>
                  </w:pPr>
                  <w:r>
                    <w:rPr>
                      <w:rFonts w:ascii="Aptos" w:hAnsi="Aptos"/>
                      <w:b w:val="0"/>
                      <w:i/>
                      <w:color w:val="5F6B67"/>
                      <w:sz w:val="10"/>
                    </w:rPr>
                    <w:t>Source : Ville de Paris, menu officiel des écoles, semaine 26/2026.</w:t>
                  </w:r>
                </w:p>
              </w:tc>
            </w:tr>
            <w:tr>
              <w:tc>
                <w:tcPr>
                  <w:tcW w:type="dxa" w:w="2268"/>
                  <w:vAlign w:val="top"/>
                  <w:tcBorders>
                    <w:top w:val="single" w:sz="8" w:color="D5DDD8"/>
                    <w:left w:val="single" w:sz="8" w:color="D5DDD8"/>
                    <w:bottom w:val="single" w:sz="8" w:color="D5DDD8"/>
                    <w:right w:val="single" w:sz="8" w:color="D5DDD8"/>
                    <w:insideH w:val="single" w:sz="8" w:color="D5DDD8"/>
                    <w:insideV w:val="single" w:sz="8" w:color="D5DDD8"/>
                  </w:tcBorders>
                  <w:tcMar>
                    <w:top w:w="35" w:type="dxa"/>
                    <w:start w:w="45" w:type="dxa"/>
                    <w:bottom w:w="30" w:type="dxa"/>
                    <w:end w:w="45" w:type="dxa"/>
                  </w:tcMar>
                  <w:shd w:fill="FFFFFF"/>
                </w:tcPr>
                <w:p/>
                <w:p>
                  <w:pPr>
                    <w:spacing w:after="20"/>
                    <w:jc w:val="center"/>
                  </w:pPr>
                  <w:r>
                    <w:drawing>
                      <wp:inline xmlns:a="http://schemas.openxmlformats.org/drawingml/2006/main" xmlns:pic="http://schemas.openxmlformats.org/drawingml/2006/picture">
                        <wp:extent cx="864000" cy="1152000"/>
                        <wp:docPr id="2" name="Picture 2"/>
                        <wp:cNvGraphicFramePr>
                          <a:graphicFrameLocks noChangeAspect="1"/>
                        </wp:cNvGraphicFramePr>
                        <a:graphic>
                          <a:graphicData uri="http://schemas.openxmlformats.org/drawingml/2006/picture">
                            <pic:pic>
                              <pic:nvPicPr>
                                <pic:cNvPr id="0" name="toride-repas-scolaire.jpg"/>
                                <pic:cNvPicPr/>
                              </pic:nvPicPr>
                              <pic:blipFill>
                                <a:blip r:embed="rId10"/>
                                <a:stretch>
                                  <a:fillRect/>
                                </a:stretch>
                              </pic:blipFill>
                              <pic:spPr>
                                <a:xfrm>
                                  <a:off x="0" y="0"/>
                                  <a:ext cx="864000" cy="1152000"/>
                                </a:xfrm>
                                <a:prstGeom prst="rect"/>
                              </pic:spPr>
                            </pic:pic>
                          </a:graphicData>
                        </a:graphic>
                      </wp:inline>
                    </w:drawing>
                  </w:r>
                </w:p>
              </w:tc>
              <w:tc>
                <w:tcPr>
                  <w:tcW w:type="dxa" w:w="7824"/>
                  <w:vAlign w:val="top"/>
                  <w:tcBorders>
                    <w:top w:val="single" w:sz="8" w:color="D5DDD8"/>
                    <w:left w:val="single" w:sz="8" w:color="D5DDD8"/>
                    <w:bottom w:val="single" w:sz="8" w:color="D5DDD8"/>
                    <w:right w:val="single" w:sz="8" w:color="D5DDD8"/>
                    <w:insideH w:val="single" w:sz="8" w:color="D5DDD8"/>
                    <w:insideV w:val="single" w:sz="8" w:color="D5DDD8"/>
                  </w:tcBorders>
                  <w:tcMar>
                    <w:top w:w="35" w:type="dxa"/>
                    <w:start w:w="45" w:type="dxa"/>
                    <w:bottom w:w="30" w:type="dxa"/>
                    <w:end w:w="45" w:type="dxa"/>
                  </w:tcMar>
                  <w:shd w:fill="FFFFFF"/>
                </w:tcPr>
                <w:p>
                  <w:pPr>
                    <w:spacing w:after="20" w:line="240" w:lineRule="auto"/>
                  </w:pPr>
                  <w:r>
                    <w:rPr>
                      <w:rFonts w:ascii="Aptos" w:hAnsi="Aptos"/>
                      <w:b/>
                      <w:i w:val="0"/>
                      <w:color w:val="2F6B4F"/>
                      <w:sz w:val="16"/>
                    </w:rPr>
                    <w:t>B — JAPON · Toride</w:t>
                  </w:r>
                </w:p>
                <w:p>
                  <w:pPr>
                    <w:spacing w:after="20" w:line="240" w:lineRule="auto"/>
                  </w:pPr>
                  <w:r>
                    <w:rPr>
                      <w:rFonts w:ascii="Aptos" w:hAnsi="Aptos"/>
                      <w:b/>
                      <w:i w:val="0"/>
                      <w:color w:val="C83E32"/>
                      <w:sz w:val="12"/>
                    </w:rPr>
                    <w:t>Repas scolaire du 7 février 2024</w:t>
                  </w:r>
                </w:p>
                <w:p>
                  <w:pPr>
                    <w:spacing w:after="20" w:line="240" w:lineRule="auto"/>
                  </w:pPr>
                  <w:r>
                    <w:rPr>
                      <w:rFonts w:ascii="Aptos" w:hAnsi="Aptos"/>
                      <w:b w:val="0"/>
                      <w:i w:val="0"/>
                      <w:color w:val="173B2B"/>
                      <w:sz w:val="13"/>
                    </w:rPr>
                    <w:t>La ville indique : poisson grillé, légumes mijotés, soupe suiton, riz et lait.</w:t>
                  </w:r>
                </w:p>
                <w:p>
                  <w:pPr>
                    <w:spacing w:after="0" w:line="240" w:lineRule="auto"/>
                  </w:pPr>
                  <w:r>
                    <w:rPr>
                      <w:rFonts w:ascii="Aptos" w:hAnsi="Aptos"/>
                      <w:b w:val="0"/>
                      <w:i/>
                      <w:color w:val="5F6B67"/>
                      <w:sz w:val="10"/>
                    </w:rPr>
                    <w:t>Source : Ville de Toride, service santé et restauration scolaire.</w:t>
                  </w:r>
                </w:p>
              </w:tc>
            </w:tr>
            <w:tr>
              <w:tc>
                <w:tcPr>
                  <w:tcW w:type="dxa" w:w="2268"/>
                  <w:vAlign w:val="top"/>
                  <w:tcBorders>
                    <w:top w:val="single" w:sz="8" w:color="D5DDD8"/>
                    <w:left w:val="single" w:sz="8" w:color="D5DDD8"/>
                    <w:bottom w:val="single" w:sz="8" w:color="D5DDD8"/>
                    <w:right w:val="single" w:sz="8" w:color="D5DDD8"/>
                    <w:insideH w:val="single" w:sz="8" w:color="D5DDD8"/>
                    <w:insideV w:val="single" w:sz="8" w:color="D5DDD8"/>
                  </w:tcBorders>
                  <w:tcMar>
                    <w:top w:w="35" w:type="dxa"/>
                    <w:start w:w="45" w:type="dxa"/>
                    <w:bottom w:w="30" w:type="dxa"/>
                    <w:end w:w="45" w:type="dxa"/>
                  </w:tcMar>
                  <w:shd w:fill="FFFFFF"/>
                </w:tcPr>
                <w:p/>
                <w:p>
                  <w:pPr>
                    <w:spacing w:after="20"/>
                    <w:jc w:val="center"/>
                  </w:pPr>
                  <w:r>
                    <w:drawing>
                      <wp:inline xmlns:a="http://schemas.openxmlformats.org/drawingml/2006/main" xmlns:pic="http://schemas.openxmlformats.org/drawingml/2006/picture">
                        <wp:extent cx="1080000" cy="720000"/>
                        <wp:docPr id="3" name="Picture 3"/>
                        <wp:cNvGraphicFramePr>
                          <a:graphicFrameLocks noChangeAspect="1"/>
                        </wp:cNvGraphicFramePr>
                        <a:graphic>
                          <a:graphicData uri="http://schemas.openxmlformats.org/drawingml/2006/picture">
                            <pic:pic>
                              <pic:nvPicPr>
                                <pic:cNvPr id="0" name="wfp-madagascar-emergencienne.jpg"/>
                                <pic:cNvPicPr/>
                              </pic:nvPicPr>
                              <pic:blipFill>
                                <a:blip r:embed="rId11"/>
                                <a:stretch>
                                  <a:fillRect/>
                                </a:stretch>
                              </pic:blipFill>
                              <pic:spPr>
                                <a:xfrm>
                                  <a:off x="0" y="0"/>
                                  <a:ext cx="1080000" cy="720000"/>
                                </a:xfrm>
                                <a:prstGeom prst="rect"/>
                              </pic:spPr>
                            </pic:pic>
                          </a:graphicData>
                        </a:graphic>
                      </wp:inline>
                    </w:drawing>
                  </w:r>
                </w:p>
              </w:tc>
              <w:tc>
                <w:tcPr>
                  <w:tcW w:type="dxa" w:w="7824"/>
                  <w:vAlign w:val="top"/>
                  <w:tcBorders>
                    <w:top w:val="single" w:sz="8" w:color="D5DDD8"/>
                    <w:left w:val="single" w:sz="8" w:color="D5DDD8"/>
                    <w:bottom w:val="single" w:sz="8" w:color="D5DDD8"/>
                    <w:right w:val="single" w:sz="8" w:color="D5DDD8"/>
                    <w:insideH w:val="single" w:sz="8" w:color="D5DDD8"/>
                    <w:insideV w:val="single" w:sz="8" w:color="D5DDD8"/>
                  </w:tcBorders>
                  <w:tcMar>
                    <w:top w:w="35" w:type="dxa"/>
                    <w:start w:w="45" w:type="dxa"/>
                    <w:bottom w:w="30" w:type="dxa"/>
                    <w:end w:w="45" w:type="dxa"/>
                  </w:tcMar>
                  <w:shd w:fill="FFFFFF"/>
                </w:tcPr>
                <w:p>
                  <w:pPr>
                    <w:spacing w:after="20" w:line="240" w:lineRule="auto"/>
                  </w:pPr>
                  <w:r>
                    <w:rPr>
                      <w:rFonts w:ascii="Aptos" w:hAnsi="Aptos"/>
                      <w:b/>
                      <w:i w:val="0"/>
                      <w:color w:val="2F6B4F"/>
                      <w:sz w:val="16"/>
                    </w:rPr>
                    <w:t>C — MADAGASCAR · Sambava</w:t>
                  </w:r>
                </w:p>
                <w:p>
                  <w:pPr>
                    <w:spacing w:after="20" w:line="240" w:lineRule="auto"/>
                  </w:pPr>
                  <w:r>
                    <w:rPr>
                      <w:rFonts w:ascii="Aptos" w:hAnsi="Aptos"/>
                      <w:b/>
                      <w:i w:val="0"/>
                      <w:color w:val="C83E32"/>
                      <w:sz w:val="12"/>
                    </w:rPr>
                    <w:t>Après le cyclone Gamane, 2024</w:t>
                  </w:r>
                </w:p>
                <w:p>
                  <w:pPr>
                    <w:spacing w:after="20" w:line="240" w:lineRule="auto"/>
                  </w:pPr>
                  <w:r>
                    <w:rPr>
                      <w:rFonts w:ascii="Aptos" w:hAnsi="Aptos"/>
                      <w:b w:val="0"/>
                      <w:i w:val="0"/>
                      <w:color w:val="173B2B"/>
                      <w:sz w:val="13"/>
                    </w:rPr>
                    <w:t>Les champs de riz et de vanille d’Emerencienne et Arijaona ont été inondés. Pendant trois mois, ils n’ont pas pu vendre de riz. Le prix d’une tasse de riz est passé de 0,08 à 0,21 dollar.</w:t>
                  </w:r>
                </w:p>
                <w:p>
                  <w:pPr>
                    <w:spacing w:after="0" w:line="240" w:lineRule="auto"/>
                  </w:pPr>
                  <w:r>
                    <w:rPr>
                      <w:rFonts w:ascii="Aptos" w:hAnsi="Aptos"/>
                      <w:b w:val="0"/>
                      <w:i/>
                      <w:color w:val="5F6B67"/>
                      <w:sz w:val="10"/>
                    </w:rPr>
                    <w:t>Source : Programme alimentaire mondial, 30 décembre 2024. Photo : WFP/Volana Rarivoson.</w:t>
                  </w:r>
                </w:p>
              </w:tc>
            </w:tr>
            <w:tr>
              <w:tc>
                <w:tcPr>
                  <w:tcW w:type="dxa" w:w="2268"/>
                  <w:vAlign w:val="top"/>
                  <w:tcBorders>
                    <w:top w:val="single" w:sz="8" w:color="D5DDD8"/>
                    <w:left w:val="single" w:sz="8" w:color="D5DDD8"/>
                    <w:bottom w:val="single" w:sz="8" w:color="D5DDD8"/>
                    <w:right w:val="single" w:sz="8" w:color="D5DDD8"/>
                    <w:insideH w:val="single" w:sz="8" w:color="D5DDD8"/>
                    <w:insideV w:val="single" w:sz="8" w:color="D5DDD8"/>
                  </w:tcBorders>
                  <w:tcMar>
                    <w:top w:w="35" w:type="dxa"/>
                    <w:start w:w="45" w:type="dxa"/>
                    <w:bottom w:w="30" w:type="dxa"/>
                    <w:end w:w="45" w:type="dxa"/>
                  </w:tcMar>
                  <w:shd w:fill="FFFFFF"/>
                </w:tcPr>
                <w:p/>
                <w:p>
                  <w:pPr>
                    <w:spacing w:after="20"/>
                    <w:jc w:val="center"/>
                  </w:pPr>
                  <w:r>
                    <w:drawing>
                      <wp:inline xmlns:a="http://schemas.openxmlformats.org/drawingml/2006/main" xmlns:pic="http://schemas.openxmlformats.org/drawingml/2006/picture">
                        <wp:extent cx="1080000" cy="607200"/>
                        <wp:docPr id="4" name="Picture 4"/>
                        <wp:cNvGraphicFramePr>
                          <a:graphicFrameLocks noChangeAspect="1"/>
                        </wp:cNvGraphicFramePr>
                        <a:graphic>
                          <a:graphicData uri="http://schemas.openxmlformats.org/drawingml/2006/picture">
                            <pic:pic>
                              <pic:nvPicPr>
                                <pic:cNvPr id="0" name="wfp-haiti-cantine.jpg"/>
                                <pic:cNvPicPr/>
                              </pic:nvPicPr>
                              <pic:blipFill>
                                <a:blip r:embed="rId12"/>
                                <a:stretch>
                                  <a:fillRect/>
                                </a:stretch>
                              </pic:blipFill>
                              <pic:spPr>
                                <a:xfrm>
                                  <a:off x="0" y="0"/>
                                  <a:ext cx="1080000" cy="607200"/>
                                </a:xfrm>
                                <a:prstGeom prst="rect"/>
                              </pic:spPr>
                            </pic:pic>
                          </a:graphicData>
                        </a:graphic>
                      </wp:inline>
                    </w:drawing>
                  </w:r>
                </w:p>
              </w:tc>
              <w:tc>
                <w:tcPr>
                  <w:tcW w:type="dxa" w:w="7824"/>
                  <w:vAlign w:val="top"/>
                  <w:tcBorders>
                    <w:top w:val="single" w:sz="8" w:color="D5DDD8"/>
                    <w:left w:val="single" w:sz="8" w:color="D5DDD8"/>
                    <w:bottom w:val="single" w:sz="8" w:color="D5DDD8"/>
                    <w:right w:val="single" w:sz="8" w:color="D5DDD8"/>
                    <w:insideH w:val="single" w:sz="8" w:color="D5DDD8"/>
                    <w:insideV w:val="single" w:sz="8" w:color="D5DDD8"/>
                  </w:tcBorders>
                  <w:tcMar>
                    <w:top w:w="35" w:type="dxa"/>
                    <w:start w:w="45" w:type="dxa"/>
                    <w:bottom w:w="30" w:type="dxa"/>
                    <w:end w:w="45" w:type="dxa"/>
                  </w:tcMar>
                  <w:shd w:fill="FFFFFF"/>
                </w:tcPr>
                <w:p>
                  <w:pPr>
                    <w:spacing w:after="20" w:line="240" w:lineRule="auto"/>
                  </w:pPr>
                  <w:r>
                    <w:rPr>
                      <w:rFonts w:ascii="Aptos" w:hAnsi="Aptos"/>
                      <w:b/>
                      <w:i w:val="0"/>
                      <w:color w:val="2F6B4F"/>
                      <w:sz w:val="16"/>
                    </w:rPr>
                    <w:t>D — HAÏTI · Gonaïves</w:t>
                  </w:r>
                </w:p>
                <w:p>
                  <w:pPr>
                    <w:spacing w:after="20" w:line="240" w:lineRule="auto"/>
                  </w:pPr>
                  <w:r>
                    <w:rPr>
                      <w:rFonts w:ascii="Aptos" w:hAnsi="Aptos"/>
                      <w:b/>
                      <w:i w:val="0"/>
                      <w:color w:val="C83E32"/>
                      <w:sz w:val="12"/>
                    </w:rPr>
                    <w:t>Une cantine scolaire soutenue par le PAM, 2024</w:t>
                  </w:r>
                </w:p>
                <w:p>
                  <w:pPr>
                    <w:spacing w:after="20" w:line="240" w:lineRule="auto"/>
                  </w:pPr>
                  <w:r>
                    <w:rPr>
                      <w:rFonts w:ascii="Aptos" w:hAnsi="Aptos"/>
                      <w:b w:val="0"/>
                      <w:i w:val="0"/>
                      <w:color w:val="173B2B"/>
                      <w:sz w:val="13"/>
                    </w:rPr>
                    <w:t>Des cuisinières préparent chaque jour un repas pour plus de 250 élèves. Magali explique qu’elle n’a parfois pas assez d’argent pour nourrir ses six enfants ; la cantine leur assure au moins un repas complet.</w:t>
                  </w:r>
                </w:p>
                <w:p>
                  <w:pPr>
                    <w:spacing w:after="0" w:line="240" w:lineRule="auto"/>
                  </w:pPr>
                  <w:r>
                    <w:rPr>
                      <w:rFonts w:ascii="Aptos" w:hAnsi="Aptos"/>
                      <w:b w:val="0"/>
                      <w:i/>
                      <w:color w:val="5F6B67"/>
                      <w:sz w:val="10"/>
                    </w:rPr>
                    <w:t>Source : Programme alimentaire mondial, 29 janvier 2024. Photo : WFP/Pedro Rodrigues.</w:t>
                  </w:r>
                </w:p>
              </w:tc>
            </w:tr>
          </w:tbl>
          <w:p/>
        </w:tc>
        <w:tc>
          <w:tcPr>
            <w:tcW w:type="dxa" w:w="5839"/>
            <w:vAlign w:val="top"/>
            <w:tcBorders>
              <w:top w:val="single" w:sz="8" w:color="2F6B4F"/>
              <w:left w:val="single" w:sz="8" w:color="2F6B4F"/>
              <w:bottom w:val="single" w:sz="8" w:color="2F6B4F"/>
              <w:right w:val="single" w:sz="8" w:color="2F6B4F"/>
              <w:insideH w:val="single" w:sz="8" w:color="2F6B4F"/>
              <w:insideV w:val="single" w:sz="8" w:color="2F6B4F"/>
            </w:tcBorders>
            <w:tcMar>
              <w:top w:w="55" w:type="dxa"/>
              <w:start w:w="75" w:type="dxa"/>
              <w:bottom w:w="40" w:type="dxa"/>
              <w:end w:w="75" w:type="dxa"/>
            </w:tcMar>
            <w:shd w:fill="FFFDF8"/>
          </w:tcPr>
          <w:p>
            <w:pPr>
              <w:spacing w:after="20" w:line="240" w:lineRule="auto"/>
            </w:pPr>
            <w:r>
              <w:rPr>
                <w:rFonts w:ascii="Aptos" w:hAnsi="Aptos"/>
                <w:b/>
                <w:i w:val="0"/>
                <w:color w:val="2F6B4F"/>
                <w:sz w:val="18"/>
              </w:rPr>
              <w:t>REPÈRE — GROUPES DE REVENU</w:t>
            </w:r>
          </w:p>
          <w:p>
            <w:pPr>
              <w:spacing w:after="20" w:line="240" w:lineRule="auto"/>
            </w:pPr>
            <w:r>
              <w:rPr>
                <w:rFonts w:ascii="Aptos" w:hAnsi="Aptos"/>
                <w:b/>
                <w:i w:val="0"/>
                <w:color w:val="C83E32"/>
                <w:sz w:val="13"/>
              </w:rPr>
              <w:t>Banque mondiale, exercice 2027</w:t>
            </w:r>
          </w:p>
          <w:tbl>
            <w:tblPr>
              <w:tblW w:type="auto" w:w="0"/>
              <w:tblLook w:firstColumn="1" w:firstRow="1" w:lastColumn="0" w:lastRow="0" w:noHBand="0" w:noVBand="1" w:val="04A0"/>
            </w:tblPr>
            <w:tblGrid>
              <w:gridCol w:w="1946"/>
              <w:gridCol w:w="1946"/>
              <w:gridCol w:w="1946"/>
            </w:tblGrid>
            <w:tr>
              <w:tc>
                <w:tcPr>
                  <w:tcW w:type="dxa" w:w="1946"/>
                  <w:tcBorders>
                    <w:top w:val="single" w:sz="8" w:color="2F6B4F"/>
                    <w:left w:val="single" w:sz="8" w:color="2F6B4F"/>
                    <w:bottom w:val="single" w:sz="8" w:color="2F6B4F"/>
                    <w:right w:val="single" w:sz="8" w:color="2F6B4F"/>
                    <w:insideH w:val="single" w:sz="8" w:color="2F6B4F"/>
                    <w:insideV w:val="single" w:sz="8" w:color="2F6B4F"/>
                  </w:tcBorders>
                  <w:shd w:fill="EAF5EE"/>
                </w:tcPr>
                <w:p>
                  <w:pPr>
                    <w:spacing w:after="20" w:line="240" w:lineRule="auto"/>
                    <w:jc w:val="center"/>
                  </w:pPr>
                  <w:r>
                    <w:rPr>
                      <w:rFonts w:ascii="Aptos" w:hAnsi="Aptos"/>
                      <w:b/>
                      <w:i w:val="0"/>
                      <w:color w:val="173B2B"/>
                      <w:sz w:val="11"/>
                    </w:rPr>
                    <w:t>Groupe</w:t>
                  </w:r>
                </w:p>
              </w:tc>
              <w:tc>
                <w:tcPr>
                  <w:tcW w:type="dxa" w:w="1946"/>
                  <w:tcBorders>
                    <w:top w:val="single" w:sz="8" w:color="2F6B4F"/>
                    <w:left w:val="single" w:sz="8" w:color="2F6B4F"/>
                    <w:bottom w:val="single" w:sz="8" w:color="2F6B4F"/>
                    <w:right w:val="single" w:sz="8" w:color="2F6B4F"/>
                    <w:insideH w:val="single" w:sz="8" w:color="2F6B4F"/>
                    <w:insideV w:val="single" w:sz="8" w:color="2F6B4F"/>
                  </w:tcBorders>
                  <w:shd w:fill="EAF5EE"/>
                </w:tcPr>
                <w:p>
                  <w:pPr>
                    <w:spacing w:after="20" w:line="240" w:lineRule="auto"/>
                    <w:jc w:val="center"/>
                  </w:pPr>
                  <w:r>
                    <w:rPr>
                      <w:rFonts w:ascii="Aptos" w:hAnsi="Aptos"/>
                      <w:b/>
                      <w:i w:val="0"/>
                      <w:color w:val="173B2B"/>
                      <w:sz w:val="11"/>
                    </w:rPr>
                    <w:t>RNB/hab. en 2025</w:t>
                  </w:r>
                </w:p>
              </w:tc>
              <w:tc>
                <w:tcPr>
                  <w:tcW w:type="dxa" w:w="1946"/>
                  <w:tcBorders>
                    <w:top w:val="single" w:sz="8" w:color="2F6B4F"/>
                    <w:left w:val="single" w:sz="8" w:color="2F6B4F"/>
                    <w:bottom w:val="single" w:sz="8" w:color="2F6B4F"/>
                    <w:right w:val="single" w:sz="8" w:color="2F6B4F"/>
                    <w:insideH w:val="single" w:sz="8" w:color="2F6B4F"/>
                    <w:insideV w:val="single" w:sz="8" w:color="2F6B4F"/>
                  </w:tcBorders>
                  <w:shd w:fill="EAF5EE"/>
                </w:tcPr>
                <w:p>
                  <w:pPr>
                    <w:spacing w:after="20" w:line="240" w:lineRule="auto"/>
                    <w:jc w:val="center"/>
                  </w:pPr>
                  <w:r>
                    <w:rPr>
                      <w:rFonts w:ascii="Aptos" w:hAnsi="Aptos"/>
                      <w:b/>
                      <w:i w:val="0"/>
                      <w:color w:val="173B2B"/>
                      <w:sz w:val="11"/>
                    </w:rPr>
                    <w:t>Pays étudié(s)</w:t>
                  </w:r>
                </w:p>
              </w:tc>
            </w:tr>
            <w:tr>
              <w:tc>
                <w:tcPr>
                  <w:tcW w:type="dxa" w:w="1946"/>
                  <w:tcBorders>
                    <w:top w:val="single" w:sz="8" w:color="2F6B4F"/>
                    <w:left w:val="single" w:sz="8" w:color="2F6B4F"/>
                    <w:bottom w:val="single" w:sz="8" w:color="2F6B4F"/>
                    <w:right w:val="single" w:sz="8" w:color="2F6B4F"/>
                    <w:insideH w:val="single" w:sz="8" w:color="2F6B4F"/>
                    <w:insideV w:val="single" w:sz="8" w:color="2F6B4F"/>
                  </w:tcBorders>
                  <w:shd w:fill="FFFFFF"/>
                </w:tcPr>
                <w:p>
                  <w:pPr>
                    <w:spacing w:after="20" w:line="240" w:lineRule="auto"/>
                    <w:jc w:val="center"/>
                  </w:pPr>
                  <w:r>
                    <w:rPr>
                      <w:rFonts w:ascii="Aptos" w:hAnsi="Aptos"/>
                      <w:b w:val="0"/>
                      <w:i w:val="0"/>
                      <w:color w:val="173B2B"/>
                      <w:sz w:val="11"/>
                    </w:rPr>
                    <w:t>faible</w:t>
                  </w:r>
                </w:p>
              </w:tc>
              <w:tc>
                <w:tcPr>
                  <w:tcW w:type="dxa" w:w="1946"/>
                  <w:tcBorders>
                    <w:top w:val="single" w:sz="8" w:color="2F6B4F"/>
                    <w:left w:val="single" w:sz="8" w:color="2F6B4F"/>
                    <w:bottom w:val="single" w:sz="8" w:color="2F6B4F"/>
                    <w:right w:val="single" w:sz="8" w:color="2F6B4F"/>
                    <w:insideH w:val="single" w:sz="8" w:color="2F6B4F"/>
                    <w:insideV w:val="single" w:sz="8" w:color="2F6B4F"/>
                  </w:tcBorders>
                  <w:shd w:fill="FFFFFF"/>
                </w:tcPr>
                <w:p>
                  <w:pPr>
                    <w:spacing w:after="20" w:line="240" w:lineRule="auto"/>
                    <w:jc w:val="center"/>
                  </w:pPr>
                  <w:r>
                    <w:rPr>
                      <w:rFonts w:ascii="Aptos" w:hAnsi="Aptos"/>
                      <w:b w:val="0"/>
                      <w:i w:val="0"/>
                      <w:color w:val="173B2B"/>
                      <w:sz w:val="11"/>
                    </w:rPr>
                    <w:t>1 175 $ ou moins</w:t>
                  </w:r>
                </w:p>
              </w:tc>
              <w:tc>
                <w:tcPr>
                  <w:tcW w:type="dxa" w:w="1946"/>
                  <w:tcBorders>
                    <w:top w:val="single" w:sz="8" w:color="2F6B4F"/>
                    <w:left w:val="single" w:sz="8" w:color="2F6B4F"/>
                    <w:bottom w:val="single" w:sz="8" w:color="2F6B4F"/>
                    <w:right w:val="single" w:sz="8" w:color="2F6B4F"/>
                    <w:insideH w:val="single" w:sz="8" w:color="2F6B4F"/>
                    <w:insideV w:val="single" w:sz="8" w:color="2F6B4F"/>
                  </w:tcBorders>
                  <w:shd w:fill="FFFFFF"/>
                </w:tcPr>
                <w:p>
                  <w:pPr>
                    <w:spacing w:after="20" w:line="240" w:lineRule="auto"/>
                    <w:jc w:val="center"/>
                  </w:pPr>
                  <w:r>
                    <w:rPr>
                      <w:rFonts w:ascii="Aptos" w:hAnsi="Aptos"/>
                      <w:b w:val="0"/>
                      <w:i w:val="0"/>
                      <w:color w:val="173B2B"/>
                      <w:sz w:val="11"/>
                    </w:rPr>
                    <w:t>Madagascar</w:t>
                  </w:r>
                </w:p>
              </w:tc>
            </w:tr>
            <w:tr>
              <w:tc>
                <w:tcPr>
                  <w:tcW w:type="dxa" w:w="1946"/>
                  <w:tcBorders>
                    <w:top w:val="single" w:sz="8" w:color="2F6B4F"/>
                    <w:left w:val="single" w:sz="8" w:color="2F6B4F"/>
                    <w:bottom w:val="single" w:sz="8" w:color="2F6B4F"/>
                    <w:right w:val="single" w:sz="8" w:color="2F6B4F"/>
                    <w:insideH w:val="single" w:sz="8" w:color="2F6B4F"/>
                    <w:insideV w:val="single" w:sz="8" w:color="2F6B4F"/>
                  </w:tcBorders>
                  <w:shd w:fill="FFFFFF"/>
                </w:tcPr>
                <w:p>
                  <w:pPr>
                    <w:spacing w:after="20" w:line="240" w:lineRule="auto"/>
                    <w:jc w:val="center"/>
                  </w:pPr>
                  <w:r>
                    <w:rPr>
                      <w:rFonts w:ascii="Aptos" w:hAnsi="Aptos"/>
                      <w:b w:val="0"/>
                      <w:i w:val="0"/>
                      <w:color w:val="173B2B"/>
                      <w:sz w:val="11"/>
                    </w:rPr>
                    <w:t>intermédiaire inférieur</w:t>
                  </w:r>
                </w:p>
              </w:tc>
              <w:tc>
                <w:tcPr>
                  <w:tcW w:type="dxa" w:w="1946"/>
                  <w:tcBorders>
                    <w:top w:val="single" w:sz="8" w:color="2F6B4F"/>
                    <w:left w:val="single" w:sz="8" w:color="2F6B4F"/>
                    <w:bottom w:val="single" w:sz="8" w:color="2F6B4F"/>
                    <w:right w:val="single" w:sz="8" w:color="2F6B4F"/>
                    <w:insideH w:val="single" w:sz="8" w:color="2F6B4F"/>
                    <w:insideV w:val="single" w:sz="8" w:color="2F6B4F"/>
                  </w:tcBorders>
                  <w:shd w:fill="FFFFFF"/>
                </w:tcPr>
                <w:p>
                  <w:pPr>
                    <w:spacing w:after="20" w:line="240" w:lineRule="auto"/>
                    <w:jc w:val="center"/>
                  </w:pPr>
                  <w:r>
                    <w:rPr>
                      <w:rFonts w:ascii="Aptos" w:hAnsi="Aptos"/>
                      <w:b w:val="0"/>
                      <w:i w:val="0"/>
                      <w:color w:val="173B2B"/>
                      <w:sz w:val="11"/>
                    </w:rPr>
                    <w:t>1 176 à 4 635 $</w:t>
                  </w:r>
                </w:p>
              </w:tc>
              <w:tc>
                <w:tcPr>
                  <w:tcW w:type="dxa" w:w="1946"/>
                  <w:tcBorders>
                    <w:top w:val="single" w:sz="8" w:color="2F6B4F"/>
                    <w:left w:val="single" w:sz="8" w:color="2F6B4F"/>
                    <w:bottom w:val="single" w:sz="8" w:color="2F6B4F"/>
                    <w:right w:val="single" w:sz="8" w:color="2F6B4F"/>
                    <w:insideH w:val="single" w:sz="8" w:color="2F6B4F"/>
                    <w:insideV w:val="single" w:sz="8" w:color="2F6B4F"/>
                  </w:tcBorders>
                  <w:shd w:fill="FFFFFF"/>
                </w:tcPr>
                <w:p>
                  <w:pPr>
                    <w:spacing w:after="20" w:line="240" w:lineRule="auto"/>
                    <w:jc w:val="center"/>
                  </w:pPr>
                  <w:r>
                    <w:rPr>
                      <w:rFonts w:ascii="Aptos" w:hAnsi="Aptos"/>
                      <w:b w:val="0"/>
                      <w:i w:val="0"/>
                      <w:color w:val="173B2B"/>
                      <w:sz w:val="11"/>
                    </w:rPr>
                    <w:t>Haïti</w:t>
                  </w:r>
                </w:p>
              </w:tc>
            </w:tr>
            <w:tr>
              <w:tc>
                <w:tcPr>
                  <w:tcW w:type="dxa" w:w="1946"/>
                  <w:tcBorders>
                    <w:top w:val="single" w:sz="8" w:color="2F6B4F"/>
                    <w:left w:val="single" w:sz="8" w:color="2F6B4F"/>
                    <w:bottom w:val="single" w:sz="8" w:color="2F6B4F"/>
                    <w:right w:val="single" w:sz="8" w:color="2F6B4F"/>
                    <w:insideH w:val="single" w:sz="8" w:color="2F6B4F"/>
                    <w:insideV w:val="single" w:sz="8" w:color="2F6B4F"/>
                  </w:tcBorders>
                  <w:shd w:fill="FFFFFF"/>
                </w:tcPr>
                <w:p>
                  <w:pPr>
                    <w:spacing w:after="20" w:line="240" w:lineRule="auto"/>
                    <w:jc w:val="center"/>
                  </w:pPr>
                  <w:r>
                    <w:rPr>
                      <w:rFonts w:ascii="Aptos" w:hAnsi="Aptos"/>
                      <w:b w:val="0"/>
                      <w:i w:val="0"/>
                      <w:color w:val="173B2B"/>
                      <w:sz w:val="11"/>
                    </w:rPr>
                    <w:t>intermédiaire supérieur</w:t>
                  </w:r>
                </w:p>
              </w:tc>
              <w:tc>
                <w:tcPr>
                  <w:tcW w:type="dxa" w:w="1946"/>
                  <w:tcBorders>
                    <w:top w:val="single" w:sz="8" w:color="2F6B4F"/>
                    <w:left w:val="single" w:sz="8" w:color="2F6B4F"/>
                    <w:bottom w:val="single" w:sz="8" w:color="2F6B4F"/>
                    <w:right w:val="single" w:sz="8" w:color="2F6B4F"/>
                    <w:insideH w:val="single" w:sz="8" w:color="2F6B4F"/>
                    <w:insideV w:val="single" w:sz="8" w:color="2F6B4F"/>
                  </w:tcBorders>
                  <w:shd w:fill="FFFFFF"/>
                </w:tcPr>
                <w:p>
                  <w:pPr>
                    <w:spacing w:after="20" w:line="240" w:lineRule="auto"/>
                    <w:jc w:val="center"/>
                  </w:pPr>
                  <w:r>
                    <w:rPr>
                      <w:rFonts w:ascii="Aptos" w:hAnsi="Aptos"/>
                      <w:b w:val="0"/>
                      <w:i w:val="0"/>
                      <w:color w:val="173B2B"/>
                      <w:sz w:val="11"/>
                    </w:rPr>
                    <w:t>4 636 à 14 375 $</w:t>
                  </w:r>
                </w:p>
              </w:tc>
              <w:tc>
                <w:tcPr>
                  <w:tcW w:type="dxa" w:w="1946"/>
                  <w:tcBorders>
                    <w:top w:val="single" w:sz="8" w:color="2F6B4F"/>
                    <w:left w:val="single" w:sz="8" w:color="2F6B4F"/>
                    <w:bottom w:val="single" w:sz="8" w:color="2F6B4F"/>
                    <w:right w:val="single" w:sz="8" w:color="2F6B4F"/>
                    <w:insideH w:val="single" w:sz="8" w:color="2F6B4F"/>
                    <w:insideV w:val="single" w:sz="8" w:color="2F6B4F"/>
                  </w:tcBorders>
                  <w:shd w:fill="FFFFFF"/>
                </w:tcPr>
                <w:p>
                  <w:pPr>
                    <w:spacing w:after="20" w:line="240" w:lineRule="auto"/>
                    <w:jc w:val="center"/>
                  </w:pPr>
                  <w:r>
                    <w:rPr>
                      <w:rFonts w:ascii="Aptos" w:hAnsi="Aptos"/>
                      <w:b w:val="0"/>
                      <w:i w:val="0"/>
                      <w:color w:val="173B2B"/>
                      <w:sz w:val="11"/>
                    </w:rPr>
                    <w:t>—</w:t>
                  </w:r>
                </w:p>
              </w:tc>
            </w:tr>
            <w:tr>
              <w:tc>
                <w:tcPr>
                  <w:tcW w:type="dxa" w:w="1946"/>
                  <w:tcBorders>
                    <w:top w:val="single" w:sz="8" w:color="2F6B4F"/>
                    <w:left w:val="single" w:sz="8" w:color="2F6B4F"/>
                    <w:bottom w:val="single" w:sz="8" w:color="2F6B4F"/>
                    <w:right w:val="single" w:sz="8" w:color="2F6B4F"/>
                    <w:insideH w:val="single" w:sz="8" w:color="2F6B4F"/>
                    <w:insideV w:val="single" w:sz="8" w:color="2F6B4F"/>
                  </w:tcBorders>
                  <w:shd w:fill="FFFFFF"/>
                </w:tcPr>
                <w:p>
                  <w:pPr>
                    <w:spacing w:after="20" w:line="240" w:lineRule="auto"/>
                    <w:jc w:val="center"/>
                  </w:pPr>
                  <w:r>
                    <w:rPr>
                      <w:rFonts w:ascii="Aptos" w:hAnsi="Aptos"/>
                      <w:b w:val="0"/>
                      <w:i w:val="0"/>
                      <w:color w:val="173B2B"/>
                      <w:sz w:val="11"/>
                    </w:rPr>
                    <w:t>élevé</w:t>
                  </w:r>
                </w:p>
              </w:tc>
              <w:tc>
                <w:tcPr>
                  <w:tcW w:type="dxa" w:w="1946"/>
                  <w:tcBorders>
                    <w:top w:val="single" w:sz="8" w:color="2F6B4F"/>
                    <w:left w:val="single" w:sz="8" w:color="2F6B4F"/>
                    <w:bottom w:val="single" w:sz="8" w:color="2F6B4F"/>
                    <w:right w:val="single" w:sz="8" w:color="2F6B4F"/>
                    <w:insideH w:val="single" w:sz="8" w:color="2F6B4F"/>
                    <w:insideV w:val="single" w:sz="8" w:color="2F6B4F"/>
                  </w:tcBorders>
                  <w:shd w:fill="FFFFFF"/>
                </w:tcPr>
                <w:p>
                  <w:pPr>
                    <w:spacing w:after="20" w:line="240" w:lineRule="auto"/>
                    <w:jc w:val="center"/>
                  </w:pPr>
                  <w:r>
                    <w:rPr>
                      <w:rFonts w:ascii="Aptos" w:hAnsi="Aptos"/>
                      <w:b w:val="0"/>
                      <w:i w:val="0"/>
                      <w:color w:val="173B2B"/>
                      <w:sz w:val="11"/>
                    </w:rPr>
                    <w:t>plus de 14 375 $</w:t>
                  </w:r>
                </w:p>
              </w:tc>
              <w:tc>
                <w:tcPr>
                  <w:tcW w:type="dxa" w:w="1946"/>
                  <w:tcBorders>
                    <w:top w:val="single" w:sz="8" w:color="2F6B4F"/>
                    <w:left w:val="single" w:sz="8" w:color="2F6B4F"/>
                    <w:bottom w:val="single" w:sz="8" w:color="2F6B4F"/>
                    <w:right w:val="single" w:sz="8" w:color="2F6B4F"/>
                    <w:insideH w:val="single" w:sz="8" w:color="2F6B4F"/>
                    <w:insideV w:val="single" w:sz="8" w:color="2F6B4F"/>
                  </w:tcBorders>
                  <w:shd w:fill="FFFFFF"/>
                </w:tcPr>
                <w:p>
                  <w:pPr>
                    <w:spacing w:after="20" w:line="240" w:lineRule="auto"/>
                    <w:jc w:val="center"/>
                  </w:pPr>
                  <w:r>
                    <w:rPr>
                      <w:rFonts w:ascii="Aptos" w:hAnsi="Aptos"/>
                      <w:b w:val="0"/>
                      <w:i w:val="0"/>
                      <w:color w:val="173B2B"/>
                      <w:sz w:val="11"/>
                    </w:rPr>
                    <w:t>France · Japon</w:t>
                  </w:r>
                </w:p>
              </w:tc>
            </w:tr>
          </w:tbl>
          <w:p/>
          <w:p>
            <w:pPr>
              <w:spacing w:after="0" w:line="240" w:lineRule="auto"/>
            </w:pPr>
            <w:r>
              <w:rPr>
                <w:rFonts w:ascii="Aptos" w:hAnsi="Aptos"/>
                <w:b w:val="0"/>
                <w:i/>
                <w:color w:val="5F6B67"/>
                <w:sz w:val="10"/>
              </w:rPr>
              <w:t>Source : Banque mondiale, Country and Lending Groups, exercice 2027 (juillet 2026-juin 2027).</w:t>
            </w:r>
          </w:p>
          <w:p>
            <w:pPr>
              <w:spacing w:after="20" w:line="240" w:lineRule="auto"/>
            </w:pPr>
            <w:r>
              <w:rPr>
                <w:rFonts w:ascii="Aptos" w:hAnsi="Aptos"/>
                <w:b w:val="0"/>
                <w:i w:val="0"/>
                <w:color w:val="C83E32"/>
                <w:sz w:val="11"/>
              </w:rPr>
              <w:t>RNB/hab. = revenu national brut moyen par habitant. Cette moyenne ne décrit ni le revenu de chaque famille, ni ce que mange chaque personne.</w:t>
            </w:r>
          </w:p>
          <w:p>
            <w:pPr>
              <w:spacing w:after="20" w:line="240" w:lineRule="auto"/>
            </w:pPr>
            <w:r>
              <w:rPr>
                <w:rFonts w:ascii="Aptos" w:hAnsi="Aptos"/>
                <w:b/>
                <w:i w:val="0"/>
                <w:color w:val="2F6B4F"/>
                <w:sz w:val="21"/>
              </w:rPr>
              <w:t>QUESTIONS</w:t>
            </w:r>
          </w:p>
          <w:p>
            <w:pPr>
              <w:spacing w:after="20" w:line="240" w:lineRule="auto"/>
            </w:pPr>
            <w:r>
              <w:rPr>
                <w:rFonts w:ascii="Aptos" w:hAnsi="Aptos"/>
                <w:b/>
                <w:i w:val="0"/>
                <w:color w:val="173B2B"/>
                <w:sz w:val="14"/>
              </w:rPr>
              <w:t>1. À l’aide du tableau, classe les quatre pays selon leur groupe de revenu.</w:t>
            </w:r>
          </w:p>
          <w:p>
            <w:pPr>
              <w:spacing w:after="0" w:line="240" w:lineRule="auto"/>
            </w:pPr>
            <w:r>
              <w:rPr>
                <w:rFonts w:ascii="Aptos" w:hAnsi="Aptos"/>
                <w:b w:val="0"/>
                <w:i w:val="0"/>
                <w:color w:val="5F6B67"/>
                <w:sz w:val="12"/>
              </w:rPr>
              <w:t>........................................................................................</w:t>
            </w:r>
          </w:p>
          <w:p>
            <w:pPr>
              <w:spacing w:after="20" w:line="240" w:lineRule="auto"/>
            </w:pPr>
            <w:r>
              <w:rPr>
                <w:rFonts w:ascii="Aptos" w:hAnsi="Aptos"/>
                <w:b/>
                <w:i w:val="0"/>
                <w:color w:val="173B2B"/>
                <w:sz w:val="14"/>
              </w:rPr>
              <w:t>2. Compare les repas de Paris et de Toride : écris un point commun et deux différences visibles.</w:t>
            </w:r>
          </w:p>
          <w:p>
            <w:pPr>
              <w:spacing w:after="0" w:line="240" w:lineRule="auto"/>
            </w:pPr>
            <w:r>
              <w:rPr>
                <w:rFonts w:ascii="Aptos" w:hAnsi="Aptos"/>
                <w:b w:val="0"/>
                <w:i w:val="0"/>
                <w:color w:val="5F6B67"/>
                <w:sz w:val="12"/>
              </w:rPr>
              <w:t>........................................................................................</w:t>
            </w:r>
          </w:p>
          <w:p>
            <w:pPr>
              <w:spacing w:after="0" w:line="240" w:lineRule="auto"/>
            </w:pPr>
            <w:r>
              <w:rPr>
                <w:rFonts w:ascii="Aptos" w:hAnsi="Aptos"/>
                <w:b w:val="0"/>
                <w:i w:val="0"/>
                <w:color w:val="5F6B67"/>
                <w:sz w:val="12"/>
              </w:rPr>
              <w:t>........................................................................................</w:t>
            </w:r>
          </w:p>
          <w:p>
            <w:pPr>
              <w:spacing w:after="20" w:line="240" w:lineRule="auto"/>
            </w:pPr>
            <w:r>
              <w:rPr>
                <w:rFonts w:ascii="Aptos" w:hAnsi="Aptos"/>
                <w:b/>
                <w:i w:val="0"/>
                <w:color w:val="173B2B"/>
                <w:sz w:val="14"/>
              </w:rPr>
              <w:t>3. À Madagascar, quel évènement a fragilisé l’accès à la nourriture ? Donne deux conséquences.</w:t>
            </w:r>
          </w:p>
          <w:p>
            <w:pPr>
              <w:spacing w:after="0" w:line="240" w:lineRule="auto"/>
            </w:pPr>
            <w:r>
              <w:rPr>
                <w:rFonts w:ascii="Aptos" w:hAnsi="Aptos"/>
                <w:b w:val="0"/>
                <w:i w:val="0"/>
                <w:color w:val="5F6B67"/>
                <w:sz w:val="12"/>
              </w:rPr>
              <w:t>........................................................................................</w:t>
            </w:r>
          </w:p>
          <w:p>
            <w:pPr>
              <w:spacing w:after="0" w:line="240" w:lineRule="auto"/>
            </w:pPr>
            <w:r>
              <w:rPr>
                <w:rFonts w:ascii="Aptos" w:hAnsi="Aptos"/>
                <w:b w:val="0"/>
                <w:i w:val="0"/>
                <w:color w:val="5F6B67"/>
                <w:sz w:val="12"/>
              </w:rPr>
              <w:t>........................................................................................</w:t>
            </w:r>
          </w:p>
          <w:p>
            <w:pPr>
              <w:spacing w:after="20" w:line="240" w:lineRule="auto"/>
            </w:pPr>
            <w:r>
              <w:rPr>
                <w:rFonts w:ascii="Aptos" w:hAnsi="Aptos"/>
                <w:b/>
                <w:i w:val="0"/>
                <w:color w:val="173B2B"/>
                <w:sz w:val="14"/>
              </w:rPr>
              <w:t>4. En Haïti, quelle solution est présentée pour aider des élèves à se nourrir ?</w:t>
            </w:r>
          </w:p>
          <w:p>
            <w:pPr>
              <w:spacing w:after="0" w:line="240" w:lineRule="auto"/>
            </w:pPr>
            <w:r>
              <w:rPr>
                <w:rFonts w:ascii="Aptos" w:hAnsi="Aptos"/>
                <w:b w:val="0"/>
                <w:i w:val="0"/>
                <w:color w:val="5F6B67"/>
                <w:sz w:val="12"/>
              </w:rPr>
              <w:t>........................................................................................</w:t>
            </w:r>
          </w:p>
          <w:p>
            <w:pPr>
              <w:spacing w:after="20" w:line="240" w:lineRule="auto"/>
            </w:pPr>
            <w:r>
              <w:rPr>
                <w:rFonts w:ascii="Aptos" w:hAnsi="Aptos"/>
                <w:b/>
                <w:i w:val="0"/>
                <w:color w:val="173B2B"/>
                <w:sz w:val="14"/>
              </w:rPr>
              <w:t>5. Choisis un pays à revenu élevé et un pays en développement. Écris une différence en citant les documents.</w:t>
            </w:r>
          </w:p>
          <w:p>
            <w:pPr>
              <w:spacing w:after="0" w:line="240" w:lineRule="auto"/>
            </w:pPr>
            <w:r>
              <w:rPr>
                <w:rFonts w:ascii="Aptos" w:hAnsi="Aptos"/>
                <w:b w:val="0"/>
                <w:i w:val="0"/>
                <w:color w:val="5F6B67"/>
                <w:sz w:val="12"/>
              </w:rPr>
              <w:t>........................................................................................</w:t>
            </w:r>
          </w:p>
          <w:p>
            <w:pPr>
              <w:spacing w:after="0" w:line="240" w:lineRule="auto"/>
            </w:pPr>
            <w:r>
              <w:rPr>
                <w:rFonts w:ascii="Aptos" w:hAnsi="Aptos"/>
                <w:b w:val="0"/>
                <w:i w:val="0"/>
                <w:color w:val="5F6B67"/>
                <w:sz w:val="12"/>
              </w:rPr>
              <w:t>........................................................................................</w:t>
            </w:r>
          </w:p>
          <w:p>
            <w:pPr>
              <w:spacing w:after="20" w:line="240" w:lineRule="auto"/>
            </w:pPr>
            <w:r>
              <w:rPr>
                <w:rFonts w:ascii="Aptos" w:hAnsi="Aptos"/>
                <w:b/>
                <w:i w:val="0"/>
                <w:color w:val="173B2B"/>
                <w:sz w:val="14"/>
              </w:rPr>
              <w:t>6. Pourquoi ces quatre documents ne permettent-ils pas de dire comment mangent tous les habitants de ces pays ?</w:t>
            </w:r>
          </w:p>
          <w:p>
            <w:pPr>
              <w:spacing w:after="0" w:line="240" w:lineRule="auto"/>
            </w:pPr>
            <w:r>
              <w:rPr>
                <w:rFonts w:ascii="Aptos" w:hAnsi="Aptos"/>
                <w:b w:val="0"/>
                <w:i w:val="0"/>
                <w:color w:val="5F6B67"/>
                <w:sz w:val="12"/>
              </w:rPr>
              <w:t>........................................................................................</w:t>
            </w:r>
          </w:p>
          <w:p>
            <w:pPr>
              <w:spacing w:after="20" w:line="240" w:lineRule="auto"/>
            </w:pPr>
            <w:r>
              <w:rPr>
                <w:rFonts w:ascii="Aptos" w:hAnsi="Aptos"/>
                <w:b/>
                <w:i w:val="0"/>
                <w:color w:val="C83E32"/>
                <w:sz w:val="14"/>
              </w:rPr>
              <w:t>ATTENTION</w:t>
            </w:r>
          </w:p>
          <w:p>
            <w:pPr>
              <w:spacing w:after="20" w:line="240" w:lineRule="auto"/>
            </w:pPr>
            <w:r>
              <w:rPr>
                <w:rFonts w:ascii="Aptos" w:hAnsi="Aptos"/>
                <w:b/>
                <w:i w:val="0"/>
                <w:color w:val="1F4E79"/>
                <w:sz w:val="13"/>
              </w:rPr>
              <w:t>Ces documents concernent Paris, Toride, Sambava et Gonaïves à des dates précises. Ils ne représentent pas tous les habitants de chaque pays.</w:t>
            </w:r>
          </w:p>
        </w:tc>
      </w:tr>
    </w:tbl>
    <w:sectPr w:rsidR="00FC693F" w:rsidRPr="0006063C" w:rsidSect="00034616">
      <w:pgSz w:w="16838" w:h="11906" w:orient="landscape"/>
      <w:pgMar w:top="255" w:right="283" w:bottom="255" w:left="28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pPr>
    <w:rPr>
      <w:rFonts w:ascii="Aptos" w:hAnsi="Aptos"/>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