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1</w:t>
              <w:br/>
              <w:t>Séance 1 — Lire les mobilités du quotidien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Que montrent les données sur les déplacements quotidiens et sur l’effet de la distance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930"/>
            <w:vAlign w:val="top"/>
            <w:tcBorders>
              <w:top w:val="single" w:sz="10" w:color="2F6B4F"/>
              <w:left w:val="single" w:sz="10" w:color="2F6B4F"/>
              <w:bottom w:val="single" w:sz="10" w:color="2F6B4F"/>
              <w:right w:val="single" w:sz="10" w:color="2F6B4F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1E513B"/>
                <w:sz w:val="22"/>
              </w:rPr>
              <w:t>Document A — Trois chiffres sur les déplacements du quotidien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Infographie adaptée de l’Enquête nationale sur la mobilité des personnes 2019, édition 2023.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40000" cy="43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_infographie_mobilite_quotidien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0" cy="43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Champ : déplacements à moins de 80 km du domicile, du lundi au vendredi.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SDES, Enquête nationale sur la mobilité des personnes 2019, édition 2023.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1. Quel est le champ de l’infographie : quels jours et quels déplacements sont étudiés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2. Combien de temps une personne se déplace-t-elle en moyenne par jour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3. Combien de trajets réalise-t-elle et quelle part se fait en voiture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4. Présente la mobilité quotidienne en une phrase en utilisant les trois nombres.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1</w:t>
              <w:br/>
              <w:t>Séance 1 — Lire les mobilités du quotidien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Que montrent les données sur les déplacements quotidiens et sur l’effet de la distance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930"/>
            <w:vAlign w:val="top"/>
            <w:tcBorders>
              <w:top w:val="single" w:sz="10" w:color="2F6B4F"/>
              <w:left w:val="single" w:sz="10" w:color="2F6B4F"/>
              <w:bottom w:val="single" w:sz="10" w:color="2F6B4F"/>
              <w:right w:val="single" w:sz="10" w:color="2F6B4F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1E513B"/>
                <w:sz w:val="22"/>
              </w:rPr>
              <w:t>Document B — Les modes utilisés selon la distance domicile-travail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Graphique adapté du recensement 2017, France hors Mayotte.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020000" cy="3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_modes_selon_distanc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0000" cy="3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Chaque barre représente 100 % des personnes en emploi de la catégorie de distance.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Insee Première n°1835, janvier 2021, figure 3.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1. Quelles sont les trois catégories de distance ? Quelle est l’unité des valeurs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2. Compare la part des modes actifs à 2 km ou moins et à plus de 5 km. Calcule l’écart.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3. Comment la part de la voiture évolue-t-elle quand la distance augmente ? Cite les trois valeurs.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4. Rédige une conclusion sur l’effet de la distance en utilisant deux valeurs.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sectPr w:rsidR="00FC693F" w:rsidRPr="0006063C" w:rsidSect="00034616">
      <w:pgSz w:w="16838" w:h="11906" w:orient="landscape"/>
      <w:pgMar w:top="454" w:right="454" w:bottom="397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