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3 — Combiner les transports et prolonger la vie des équipements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Quels choix permettent de rendre un déplacement plus durable du départ jusqu’à la fin de vie du matériel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Le fonctionnement des parkings-relais de Strasbourg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Schéma pédagogique construit à partir des informations et du guide voyageur de la CTS.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380000" cy="415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intermodal_hu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80000" cy="415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 voyageur stationne en périphérie puis utilise le tram ou le bus. Les durées et fréquences sont des valeurs annoncées par la CTS en 2026.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CTS Strasbourg, parkings-relais et Guide voyageur, janvier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Dans quel ordre les quatre étapes du trajet sont-elles représentées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Combien de parkings-relais et de places sont annoncés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Combien de temps faut-il pour rejoindre le centre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Explique comment ce système peut réduire la circulation automobile dans le centre.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3 — Combiner les transports et prolonger la vie des équipements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Quels choix permettent de rendre un déplacement plus durable du départ jusqu’à la fin de vie du matériel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Donner, réparer ou recycler un vieux vélo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Diagramme pédagogique d’après le service public d’information de l’ADEME.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20000" cy="4124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bike_lifecyc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4124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 chemin dépend de l’état du vélo. Les batteries et éléments électroniques éventuels suivent une filière spécifique.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ADEME, « Que faire de mes objets et déchets ? — Vélo », mise à jour le 21 avril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 peut-on faire d’un vélo encore en bon état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 faut-il faire d’un vélo réparable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 devient un vélo qui ne peut plus être réparé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Explique pourquoi les trois chemins ne se valent pas.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