
<file path=[Content_Types].xml><?xml version="1.0" encoding="utf-8"?>
<Types xmlns="http://schemas.openxmlformats.org/package/2006/content-types">
  <Default Extension="jpeg" ContentType="image/jpeg"/>
  <Default Extension="pn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E77D22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HISTOIRE — CM2 — CHAPITRE 3</w:t>
              <w:br/>
              <w:t>Séance 3 — Faire vivre la démocratie</w:t>
            </w:r>
          </w:p>
        </w:tc>
        <w:tc>
          <w:tcPr>
            <w:tcW w:type="dxa" w:w="7965"/>
            <w:shd w:fill="F7E3CC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57"/>
          <w:sz w:val="22"/>
        </w:rPr>
        <w:t>Question : Comment les citoyens exercent-ils leurs droits tout en respectant les règles de la démocratie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767"/>
        <w:gridCol w:w="7767"/>
      </w:tblGrid>
      <w:tr>
        <w:tc>
          <w:tcPr>
            <w:tcW w:type="dxa" w:w="7965"/>
            <w:vAlign w:val="top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B64F16"/>
                <w:sz w:val="22"/>
              </w:rPr>
              <w:t>DOCUMENT 1 — L’article 3 de la Constitution de 1958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Constitution du 4 octobre 1958, page officielle reproduisant les articles 1 à 3.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965"/>
            </w:tblGrid>
            <w:tr>
              <w:tc>
                <w:tcPr>
                  <w:tcW w:type="dxa" w:w="7965"/>
                </w:tcPr>
                <w:p>
                  <w:pPr>
                    <w:spacing w:before="0" w:after="20" w:line="240" w:lineRule="auto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664000" cy="3767456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3_constitution_1958_article3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4000" cy="3767456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Transcription du passage visible : « La souveraineté nationale appartient au peuple qui l’exerce par ses représentants et par la voie du référendum. […] Le suffrage peut être direct ou indirect dans les conditions prévues par la Constitution. Il est toujours universel, égal et secret. »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Conseil constitutionnel, Constitution du 4 octobre 1958.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1. Identifie le document : quelle est sa nature, sa date et son article étudié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2. À qui appartient la souveraineté nationale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3. Quelles sont les deux façons pour le peuple de l’exercer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4. Quelles sont les trois caractéristiques du suffrage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5. Réalise un schéma avec « peuple », « représentants » et « référendum ».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</w:tc>
        <w:tc>
          <w:tcPr>
            <w:tcW w:type="dxa" w:w="7965"/>
            <w:vAlign w:val="top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pPr>
              <w:spacing w:before="0" w:after="20" w:line="240" w:lineRule="auto"/>
            </w:pPr>
            <w:r>
              <w:rPr>
                <w:rFonts w:ascii="Arial" w:hAnsi="Arial"/>
                <w:b/>
                <w:i w:val="0"/>
                <w:color w:val="B64F16"/>
                <w:sz w:val="22"/>
              </w:rPr>
              <w:t>DOSSIER-DÉBAT — Le secret du vote et le devoir civique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Carte d’électeur de Lucien Delaunay, 1939, recto-verso ; fiche institutionnelle actuelle sur le vote.</w:t>
            </w: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3982"/>
              <w:gridCol w:w="3982"/>
            </w:tblGrid>
            <w:tr>
              <w:tc>
                <w:tcPr>
                  <w:tcW w:type="dxa" w:w="3982"/>
                </w:tcPr>
                <w:p>
                  <w:pPr>
                    <w:spacing w:before="0" w:after="20" w:line="240" w:lineRule="auto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32000" cy="1039572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3_carte_electeur_1939_recto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2000" cy="103957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982"/>
                </w:tcPr>
                <w:p>
                  <w:pPr>
                    <w:spacing w:before="0" w:after="20" w:line="240" w:lineRule="auto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332000" cy="101931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3_carte_electeur_1939_verso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32000" cy="101931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Au verso de la carte, les instructions expliquent le passage par l’isoloir et l’enveloppe afin de protéger le secret du vote.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 w:val="0"/>
                <w:color w:val="202020"/>
                <w:sz w:val="17"/>
              </w:rPr>
              <w:t>Information institutionnelle actuelle : en France, voter est un droit et un devoir civique, mais ce n’est pas une obligation juridique. L’article 3 de la Constitution exige un suffrage secret.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 w:val="0"/>
                <w:i/>
                <w:color w:val="5B6470"/>
                <w:sz w:val="14"/>
              </w:rPr>
              <w:t>Source : Musée de la Libération de Paris – musée du Général Leclerc – musée Jean Moulin, CC0 Paris Musées, inv. MLM1996.3 ; Vie-publique.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1. Quels éléments de la carte montrent qu’elle sert à participer à une élection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2. Quelles consignes protègent le secret du vote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3. En France aujourd’hui, voter est-il obligatoire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4. Pourquoi peut-on pourtant parler de devoir civique ?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  <w:p>
            <w:pPr>
              <w:spacing w:before="2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17"/>
              </w:rPr>
              <w:t>5. Pour chaque situation proposée, décidez : conforme, non conforme ou à nuancer. Justifiez avec une preuve du dossier.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777777"/>
                <w:sz w:val="16"/>
              </w:rPr>
              <w:t>................................................................................................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792"/>
        <w:gridCol w:w="3628"/>
      </w:tblGrid>
      <w:tr>
        <w:tc>
          <w:tcPr>
            <w:tcW w:type="dxa" w:w="7965"/>
            <w:shd w:fill="E77D22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28"/>
              </w:rPr>
              <w:t>HISTOIRE — CM2 — CHAPITRE 3</w:t>
              <w:br/>
              <w:t>Séance 3 — Faire vivre la démocratie</w:t>
            </w:r>
          </w:p>
        </w:tc>
        <w:tc>
          <w:tcPr>
            <w:tcW w:type="dxa" w:w="7965"/>
            <w:shd w:fill="F7E3CC"/>
            <w:tcBorders>
              <w:bottom w:val="single" w:sz="8" w:color="B64F16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73B57"/>
                <w:sz w:val="21"/>
              </w:rPr>
              <w:t>Prénom :</w:t>
              <w:br/>
              <w:t>____________________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/>
          <w:i w:val="0"/>
          <w:color w:val="173B57"/>
          <w:sz w:val="22"/>
        </w:rPr>
        <w:t>Question : Comment les citoyens exercent-ils leurs droits tout en respectant les règles de la démocratie ?</w:t>
      </w:r>
    </w:p>
    <w:p>
      <w:r>
        <w:rPr>
          <w:rFonts w:ascii="Arial" w:hAnsi="Arial"/>
          <w:b/>
          <w:i w:val="0"/>
          <w:color w:val="B64F16"/>
          <w:sz w:val="24"/>
        </w:rPr>
        <w:t>ENQUÊTE-DÉBAT — En groupe ou en étude individuelle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310"/>
        <w:gridCol w:w="5310"/>
        <w:gridCol w:w="5310"/>
      </w:tblGrid>
      <w:tr>
        <w:tc>
          <w:tcPr>
            <w:tcW w:type="dxa" w:w="5310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r>
              <w:rPr>
                <w:rFonts w:ascii="Arial" w:hAnsi="Arial"/>
                <w:b/>
                <w:i w:val="0"/>
                <w:color w:val="173B57"/>
                <w:sz w:val="20"/>
              </w:rPr>
              <w:t>1. Un citoyen choisit de ne pas voter.</w:t>
            </w:r>
          </w:p>
          <w:p>
            <w:r>
              <w:rPr>
                <w:rFonts w:ascii="Arial" w:hAnsi="Arial"/>
                <w:b/>
                <w:i w:val="0"/>
                <w:color w:val="B64F16"/>
                <w:sz w:val="18"/>
              </w:rPr>
              <w:t>Décision :</w:t>
            </w:r>
          </w:p>
          <w:p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........................................................</w:t>
            </w:r>
          </w:p>
          <w:p>
            <w:r>
              <w:rPr>
                <w:rFonts w:ascii="Arial" w:hAnsi="Arial"/>
                <w:b/>
                <w:i w:val="0"/>
                <w:color w:val="B64F16"/>
                <w:sz w:val="18"/>
              </w:rPr>
              <w:t>Preuve :</w:t>
            </w:r>
          </w:p>
          <w:p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........................................................</w:t>
            </w:r>
          </w:p>
          <w:p>
            <w:r>
              <w:rPr>
                <w:rFonts w:ascii="Arial" w:hAnsi="Arial"/>
                <w:b/>
                <w:i w:val="0"/>
                <w:color w:val="B64F16"/>
                <w:sz w:val="18"/>
              </w:rPr>
              <w:t>Explication :</w:t>
            </w:r>
          </w:p>
          <w:p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........................................................</w:t>
            </w:r>
          </w:p>
        </w:tc>
        <w:tc>
          <w:tcPr>
            <w:tcW w:type="dxa" w:w="5310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r>
              <w:rPr>
                <w:rFonts w:ascii="Arial" w:hAnsi="Arial"/>
                <w:b/>
                <w:i w:val="0"/>
                <w:color w:val="173B57"/>
                <w:sz w:val="20"/>
              </w:rPr>
              <w:t>2. Un électeur montre son bulletin à tout le monde avant de le déposer.</w:t>
            </w:r>
          </w:p>
          <w:p>
            <w:r>
              <w:rPr>
                <w:rFonts w:ascii="Arial" w:hAnsi="Arial"/>
                <w:b/>
                <w:i w:val="0"/>
                <w:color w:val="B64F16"/>
                <w:sz w:val="18"/>
              </w:rPr>
              <w:t>Décision :</w:t>
            </w:r>
          </w:p>
          <w:p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........................................................</w:t>
            </w:r>
          </w:p>
          <w:p>
            <w:r>
              <w:rPr>
                <w:rFonts w:ascii="Arial" w:hAnsi="Arial"/>
                <w:b/>
                <w:i w:val="0"/>
                <w:color w:val="B64F16"/>
                <w:sz w:val="18"/>
              </w:rPr>
              <w:t>Preuve :</w:t>
            </w:r>
          </w:p>
          <w:p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........................................................</w:t>
            </w:r>
          </w:p>
          <w:p>
            <w:r>
              <w:rPr>
                <w:rFonts w:ascii="Arial" w:hAnsi="Arial"/>
                <w:b/>
                <w:i w:val="0"/>
                <w:color w:val="B64F16"/>
                <w:sz w:val="18"/>
              </w:rPr>
              <w:t>Explication :</w:t>
            </w:r>
          </w:p>
          <w:p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........................................................</w:t>
            </w:r>
          </w:p>
        </w:tc>
        <w:tc>
          <w:tcPr>
            <w:tcW w:type="dxa" w:w="5310"/>
            <w:tcBorders>
              <w:top w:val="single" w:sz="10" w:color="E77D22"/>
              <w:left w:val="single" w:sz="10" w:color="E77D22"/>
              <w:bottom w:val="single" w:sz="10" w:color="E77D22"/>
              <w:right w:val="single" w:sz="10" w:color="E77D22"/>
            </w:tcBorders>
          </w:tcPr>
          <w:p>
            <w:r>
              <w:rPr>
                <w:rFonts w:ascii="Arial" w:hAnsi="Arial"/>
                <w:b/>
                <w:i w:val="0"/>
                <w:color w:val="173B57"/>
                <w:sz w:val="20"/>
              </w:rPr>
              <w:t>3. Le peuple est consulté directement par référendum.</w:t>
            </w:r>
          </w:p>
          <w:p>
            <w:r>
              <w:rPr>
                <w:rFonts w:ascii="Arial" w:hAnsi="Arial"/>
                <w:b/>
                <w:i w:val="0"/>
                <w:color w:val="B64F16"/>
                <w:sz w:val="18"/>
              </w:rPr>
              <w:t>Décision :</w:t>
            </w:r>
          </w:p>
          <w:p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........................................................</w:t>
            </w:r>
          </w:p>
          <w:p>
            <w:r>
              <w:rPr>
                <w:rFonts w:ascii="Arial" w:hAnsi="Arial"/>
                <w:b/>
                <w:i w:val="0"/>
                <w:color w:val="B64F16"/>
                <w:sz w:val="18"/>
              </w:rPr>
              <w:t>Preuve :</w:t>
            </w:r>
          </w:p>
          <w:p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........................................................</w:t>
            </w:r>
          </w:p>
          <w:p>
            <w:r>
              <w:rPr>
                <w:rFonts w:ascii="Arial" w:hAnsi="Arial"/>
                <w:b/>
                <w:i w:val="0"/>
                <w:color w:val="B64F16"/>
                <w:sz w:val="18"/>
              </w:rPr>
              <w:t>Explication :</w:t>
            </w:r>
          </w:p>
          <w:p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........................................................</w:t>
            </w:r>
          </w:p>
        </w:tc>
      </w:tr>
    </w:tbl>
    <w:p>
      <w:pPr>
        <w:spacing w:before="160" w:after="40" w:line="240" w:lineRule="auto"/>
      </w:pPr>
      <w:r>
        <w:rPr>
          <w:rFonts w:ascii="Arial" w:hAnsi="Arial"/>
          <w:b/>
          <w:i w:val="0"/>
          <w:color w:val="173B57"/>
          <w:sz w:val="20"/>
        </w:rPr>
        <w:t>Grille d’écoute des rapporteurs : la décision est-elle claire ? La preuve vient-elle bien d’un document ? L’explication relie-t-elle les deux ?</w:t>
      </w:r>
    </w:p>
    <w:sectPr w:rsidR="00FC693F" w:rsidRPr="0006063C" w:rsidSect="00034616">
      <w:pgSz w:w="16838" w:h="11906" w:orient="landscape"/>
      <w:pgMar w:top="454" w:right="454" w:bottom="397" w:left="454" w:header="142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