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752"/>
        <w:gridCol w:w="2016"/>
      </w:tblGrid>
      <w:tr>
        <w:tc>
          <w:tcPr>
            <w:tcW w:type="dxa" w:w="7956"/>
            <w:tcMar>
              <w:top w:w="30" w:type="dxa"/>
              <w:start w:w="70" w:type="dxa"/>
              <w:bottom w:w="30" w:type="dxa"/>
              <w:end w:w="70" w:type="dxa"/>
            </w:tcMar>
            <w:shd w:fill="FFF1E8"/>
          </w:tcPr>
          <w:p>
            <w:r>
              <w:rPr>
                <w:rFonts w:ascii="Arial" w:hAnsi="Arial"/>
                <w:b/>
                <w:i w:val="0"/>
                <w:color w:val="C2410C"/>
                <w:sz w:val="16"/>
              </w:rPr>
              <w:t>HISTOIRE · CHAPITRE 1 · SÉANCE 2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11111"/>
                <w:sz w:val="34"/>
              </w:rPr>
              <w:t>1892 : célébrer et rassurer</w:t>
            </w:r>
          </w:p>
        </w:tc>
        <w:tc>
          <w:tcPr>
            <w:tcW w:type="dxa" w:w="7956"/>
            <w:tcMar>
              <w:top w:w="30" w:type="dxa"/>
              <w:start w:w="70" w:type="dxa"/>
              <w:bottom w:w="30" w:type="dxa"/>
              <w:end w:w="70" w:type="dxa"/>
            </w:tcMar>
            <w:shd w:fill="C2410C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2"/>
              </w:rPr>
              <w:t>CM2</w:t>
            </w:r>
          </w:p>
        </w:tc>
      </w:tr>
    </w:tbl>
    <w:p>
      <w:pPr>
        <w:spacing w:before="60" w:after="60"/>
      </w:pPr>
      <w:r>
        <w:rPr>
          <w:rFonts w:ascii="Arial" w:hAnsi="Arial"/>
          <w:b/>
          <w:i w:val="0"/>
          <w:color w:val="C2410C"/>
          <w:sz w:val="18"/>
        </w:rPr>
        <w:t xml:space="preserve">Problème : </w:t>
      </w:r>
      <w:r>
        <w:rPr>
          <w:rFonts w:ascii="Arial" w:hAnsi="Arial"/>
          <w:b/>
          <w:i w:val="0"/>
          <w:color w:val="111111"/>
          <w:sz w:val="18"/>
        </w:rPr>
        <w:t>Comment les fêtes de 1892 cherchent-elles à présenter une République forte, rassurante et durable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05"/>
        <w:gridCol w:w="7805"/>
      </w:tblGrid>
      <w:tr>
        <w:tc>
          <w:tcPr>
            <w:tcW w:type="dxa" w:w="7956"/>
            <w:vAlign w:val="top"/>
            <w:tcMar>
              <w:top w:w="70" w:type="dxa"/>
              <w:start w:w="100" w:type="dxa"/>
              <w:bottom w:w="60" w:type="dxa"/>
              <w:end w:w="100" w:type="dxa"/>
            </w:tcMar>
          </w:tcPr>
          <w:p>
            <w:pPr>
              <w:spacing w:after="0"/>
            </w:pPr>
          </w:p>
          <w:p>
            <w:pPr>
              <w:spacing w:before="0" w:after="60"/>
            </w:pPr>
            <w:r>
              <w:rPr>
                <w:rFonts w:ascii="Arial" w:hAnsi="Arial"/>
                <w:b/>
                <w:i w:val="0"/>
                <w:color w:val="C2410C"/>
                <w:sz w:val="22"/>
              </w:rPr>
              <w:t>Document 1 — L’affiche du centenaire de 1892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48790" cy="23317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892-affiche-centenair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2331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56"/>
            </w:tblGrid>
            <w:tr>
              <w:tc>
                <w:tcPr>
                  <w:tcW w:type="dxa" w:w="7956"/>
                  <w:shd w:fill="FFF1E8"/>
                  <w:tcMar>
                    <w:top w:w="45" w:type="dxa"/>
                    <w:start w:w="65" w:type="dxa"/>
                    <w:bottom w:w="45" w:type="dxa"/>
                    <w:end w:w="65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b w:val="0"/>
                      <w:i w:val="0"/>
                      <w:color w:val="333333"/>
                      <w:sz w:val="13"/>
                    </w:rPr>
                    <w:t>Allégorie : personnage qui représente une idée. Ici, la femme au bonnet phrygien représente la République ; le drapeau tricolore représente la nation française.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Arial" w:hAnsi="Arial"/>
                      <w:b w:val="0"/>
                      <w:i w:val="0"/>
                      <w:color w:val="333333"/>
                      <w:sz w:val="13"/>
                    </w:rPr>
                    <w:t>Clé des symboles : rameau d’olivier = paix ; corne d’abondance = richesse ; champs et troupeaux = prospérité agricole ; enfants = avenir.</w:t>
                  </w:r>
                </w:p>
              </w:tc>
            </w:tr>
          </w:tbl>
          <w:p/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555555"/>
                <w:sz w:val="13"/>
              </w:rPr>
              <w:t xml:space="preserve">Source : </w:t>
            </w:r>
            <w:r>
              <w:rPr>
                <w:rFonts w:ascii="Arial" w:hAnsi="Arial"/>
                <w:b w:val="0"/>
                <w:i w:val="0"/>
                <w:color w:val="555555"/>
                <w:sz w:val="13"/>
              </w:rPr>
              <w:t>Eugène Pichot, 1792-1892. Fêtes du centenaire de la République française, 1892, BnF-Gallica, domaine public.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5"/>
              </w:rPr>
              <w:t>Quelle opération permet de vérifier qu’il s’agit d’un centenaire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3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5"/>
              </w:rPr>
              <w:t>Quels éléments de l’affiche représentent la République et la nation française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3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5"/>
              </w:rPr>
              <w:t>Associe chaque élément à l’idée qu’il transmet : rameau d’olivier, corne d’abondance, champs et troupeaux, enfants.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3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5"/>
              </w:rPr>
              <w:t>Quel message général l’affiche adresse-t-elle aux Français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3"/>
              </w:rPr>
              <w:t>........................................................................................................</w:t>
            </w:r>
          </w:p>
        </w:tc>
        <w:tc>
          <w:tcPr>
            <w:tcW w:type="dxa" w:w="7956"/>
            <w:vAlign w:val="top"/>
            <w:tcMar>
              <w:top w:w="70" w:type="dxa"/>
              <w:start w:w="100" w:type="dxa"/>
              <w:bottom w:w="60" w:type="dxa"/>
              <w:end w:w="100" w:type="dxa"/>
            </w:tcMar>
          </w:tcPr>
          <w:p>
            <w:pPr>
              <w:spacing w:after="0"/>
            </w:pPr>
          </w:p>
          <w:p>
            <w:pPr>
              <w:spacing w:before="0" w:after="60"/>
            </w:pPr>
            <w:r>
              <w:rPr>
                <w:rFonts w:ascii="Arial" w:hAnsi="Arial"/>
                <w:b/>
                <w:i w:val="0"/>
                <w:color w:val="C2410C"/>
                <w:sz w:val="22"/>
              </w:rPr>
              <w:t>Document 2 — La fête nationale du 22 septembre 1892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17720" cy="132588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892-fete-national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7720" cy="13258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56"/>
            </w:tblGrid>
            <w:tr>
              <w:tc>
                <w:tcPr>
                  <w:tcW w:type="dxa" w:w="7956"/>
                  <w:shd w:fill="FFF1E8"/>
                  <w:tcMar>
                    <w:top w:w="45" w:type="dxa"/>
                    <w:start w:w="65" w:type="dxa"/>
                    <w:bottom w:w="45" w:type="dxa"/>
                    <w:end w:w="65" w:type="dxa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hAnsi="Arial"/>
                      <w:b w:val="0"/>
                      <w:i w:val="0"/>
                      <w:color w:val="333333"/>
                      <w:sz w:val="13"/>
                    </w:rPr>
                    <w:t>Titre transcrit : « Fête nationale du 22 septembre 1892 — Anniversaire du centenaire de la proclamation de la République française ».</w:t>
                  </w:r>
                </w:p>
                <w:p>
                  <w:pPr>
                    <w:spacing w:before="0" w:after="0"/>
                  </w:pPr>
                  <w:r>
                    <w:rPr>
                      <w:rFonts w:ascii="Arial" w:hAnsi="Arial"/>
                      <w:b w:val="0"/>
                      <w:i w:val="0"/>
                      <w:color w:val="333333"/>
                      <w:sz w:val="13"/>
                    </w:rPr>
                    <w:t>Repères d’observation : une foule, des civils, des soldats, des musiciens, des représentants officiels, des drapeaux et des monuments décorés.</w:t>
                  </w:r>
                </w:p>
              </w:tc>
            </w:tr>
          </w:tbl>
          <w:p/>
          <w:p>
            <w:pPr>
              <w:spacing w:before="40" w:after="60"/>
            </w:pPr>
            <w:r>
              <w:rPr>
                <w:rFonts w:ascii="Arial" w:hAnsi="Arial"/>
                <w:b/>
                <w:i w:val="0"/>
                <w:color w:val="555555"/>
                <w:sz w:val="13"/>
              </w:rPr>
              <w:t xml:space="preserve">Source : </w:t>
            </w:r>
            <w:r>
              <w:rPr>
                <w:rFonts w:ascii="Arial" w:hAnsi="Arial"/>
                <w:b w:val="0"/>
                <w:i w:val="0"/>
                <w:color w:val="555555"/>
                <w:sz w:val="13"/>
              </w:rPr>
              <w:t>Henri Meyer, dessinateur, et Fortuné Méaulle, graveur, La fête nationale du 22 septembre 1892, Musée Carnavalet - Paris Musées, CC0.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5"/>
              </w:rPr>
              <w:t>Quelle est la nature de ce document ? Recopie deux éléments du titre qui permettent de le dater et de comprendre l’événement.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3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5"/>
              </w:rPr>
              <w:t>Quels détails montrent qu’il s’agit d’une grande cérémonie officielle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3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5"/>
              </w:rPr>
              <w:t>Quels groupes de personnes participent à la fête ?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3"/>
              </w:rPr>
              <w:t>........................................................................................................</w:t>
            </w:r>
          </w:p>
          <w:p>
            <w:pPr>
              <w:pStyle w:val="ListNumber"/>
              <w:spacing w:before="0" w:after="0" w:line="221" w:lineRule="auto"/>
            </w:pPr>
            <w:r>
              <w:rPr>
                <w:rFonts w:ascii="Arial" w:hAnsi="Arial"/>
                <w:b w:val="0"/>
                <w:i w:val="0"/>
                <w:color w:val="111111"/>
                <w:sz w:val="15"/>
              </w:rPr>
              <w:t>En comparant les deux documents, explique comment l’affiche et la cérémonie poursuivent le même objectif.</w:t>
            </w:r>
          </w:p>
          <w:p>
            <w:pPr>
              <w:spacing w:after="0" w:line="197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3"/>
              </w:rPr>
              <w:t>........................................................................................................</w:t>
            </w:r>
          </w:p>
        </w:tc>
      </w:tr>
    </w:tbl>
    <w:sectPr w:rsidR="00FC693F" w:rsidRPr="0006063C" w:rsidSect="00034616">
      <w:footerReference w:type="default" r:id="rId11"/>
      <w:pgSz w:w="16834" w:h="11909" w:orient="landscape"/>
      <w:pgMar w:top="403" w:right="461" w:bottom="360" w:left="4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55555"/>
        <w:sz w:val="15"/>
      </w:rPr>
      <w:t>Nom : ________________________________     Date : __________________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